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4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заявки перейдите по ссылке: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/>
      <w:hyperlink r:id="rId11" w:tooltip="https://eoi.rzd.ru/Ex/Claim/View/472" w:history="1">
        <w:r>
          <w:rPr>
            <w:rStyle w:val="733"/>
            <w:rFonts w:ascii="Times New Roman" w:hAnsi="Times New Roman" w:cs="Times New Roman"/>
            <w:b/>
            <w:sz w:val="28"/>
            <w:szCs w:val="28"/>
          </w:rPr>
          <w:t xml:space="preserve">https://eoi.rzd.ru/Ex/Claim/View/472</w:t>
        </w:r>
      </w:hyperlink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spacing w:before="24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 подачи заявки до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.2025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34"/>
        <w:contextualSpacing w:val="0"/>
        <w:ind w:left="0"/>
        <w:jc w:val="center"/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открытого запроса на поиск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инновационных решений по теме </w:t>
      </w:r>
      <w:r>
        <w:rPr>
          <w:rFonts w:ascii="Times New Roman" w:hAnsi="Times New Roman"/>
          <w:b/>
          <w:sz w:val="28"/>
          <w:szCs w:val="28"/>
        </w:rPr>
        <w:t xml:space="preserve">«Система дистанционного видеоконтро</w:t>
      </w:r>
      <w:r>
        <w:rPr>
          <w:rFonts w:ascii="Times New Roman" w:hAnsi="Times New Roman"/>
          <w:b/>
          <w:sz w:val="28"/>
          <w:szCs w:val="28"/>
        </w:rPr>
        <w:t xml:space="preserve">ля при движении вагонами вперед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4"/>
        <w:contextualSpacing w:val="0"/>
        <w:ind w:left="0"/>
        <w:jc w:val="center"/>
        <w:spacing w:after="0"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34"/>
        <w:contextualSpacing w:val="0"/>
        <w:ind w:left="0" w:firstLine="709"/>
        <w:jc w:val="both"/>
        <w:spacing w:after="0" w:line="360" w:lineRule="exact"/>
        <w:rPr>
          <w:rFonts w:ascii="Times New Roman" w:hAnsi="Times New Roman" w:eastAsia="Malgun Gothic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Центральная дирекция управления движением </w:t>
      </w:r>
      <w:r>
        <w:rPr>
          <w:rFonts w:ascii="Times New Roman" w:hAnsi="Times New Roman"/>
          <w:sz w:val="28"/>
          <w:szCs w:val="28"/>
        </w:rPr>
        <w:t xml:space="preserve">и Центр иннвационного развития </w:t>
      </w:r>
      <w:r>
        <w:rPr>
          <w:rFonts w:ascii="Times New Roman" w:hAnsi="Times New Roman"/>
          <w:sz w:val="28"/>
          <w:szCs w:val="28"/>
        </w:rPr>
        <w:t xml:space="preserve">объявля</w:t>
      </w:r>
      <w:r>
        <w:rPr>
          <w:rFonts w:ascii="Times New Roman" w:hAnsi="Times New Roman"/>
          <w:sz w:val="28"/>
          <w:szCs w:val="28"/>
        </w:rPr>
        <w:t xml:space="preserve">ют</w:t>
      </w:r>
      <w:r>
        <w:rPr>
          <w:rFonts w:ascii="Times New Roman" w:hAnsi="Times New Roman"/>
          <w:sz w:val="28"/>
          <w:szCs w:val="28"/>
        </w:rPr>
        <w:t xml:space="preserve"> о проведении открытого запроса на поиск инновационных решений и технологий на тему: «Система дистанционного видеоконтроля при движении вагонами вперед</w:t>
      </w:r>
      <w:r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истема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 w:eastAsia="Malgun Gothic"/>
          <w:sz w:val="28"/>
          <w:szCs w:val="28"/>
          <w:lang w:eastAsia="ko-KR"/>
        </w:rPr>
        <w:t xml:space="preserve">.</w:t>
      </w:r>
      <w:r>
        <w:rPr>
          <w:rFonts w:ascii="Times New Roman" w:hAnsi="Times New Roman" w:eastAsia="Malgun Gothic"/>
          <w:sz w:val="28"/>
          <w:szCs w:val="28"/>
          <w:lang w:eastAsia="ko-KR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 маневровой работы </w:t>
      </w:r>
      <w:r>
        <w:rPr>
          <w:rFonts w:ascii="Times New Roman" w:hAnsi="Times New Roman" w:cs="Times New Roman"/>
          <w:sz w:val="28"/>
          <w:szCs w:val="28"/>
        </w:rPr>
        <w:t xml:space="preserve">возникает технологическая необходимость движения маневрового состава вагонами вперед</w:t>
      </w:r>
      <w:r>
        <w:rPr>
          <w:rFonts w:ascii="Times New Roman" w:hAnsi="Times New Roman" w:cs="Times New Roman"/>
          <w:sz w:val="28"/>
          <w:szCs w:val="28"/>
        </w:rPr>
        <w:t xml:space="preserve"> при следовании по путям общего и необщего пользования. </w:t>
      </w:r>
      <w:r>
        <w:rPr>
          <w:rFonts w:ascii="Times New Roman" w:hAnsi="Times New Roman" w:cs="Times New Roman"/>
          <w:sz w:val="28"/>
          <w:szCs w:val="28"/>
        </w:rPr>
        <w:t xml:space="preserve">При этом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при движении маневрового состава вагонами вперед руководитель маневров (составитель поездов) обязан находиться  на первой  по ходу движения специальной подножке вагона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идти по междупутью или обочине железнодорожного пути, что увеличивает </w:t>
      </w:r>
      <w:r>
        <w:rPr>
          <w:rFonts w:ascii="Times New Roman" w:hAnsi="Times New Roman" w:cs="Times New Roman"/>
          <w:sz w:val="28"/>
          <w:szCs w:val="28"/>
        </w:rPr>
        <w:t xml:space="preserve">риск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травмирования</w:t>
      </w:r>
      <w:r>
        <w:rPr>
          <w:rFonts w:ascii="Times New Roman" w:hAnsi="Times New Roman" w:cs="Times New Roman"/>
          <w:sz w:val="28"/>
          <w:szCs w:val="28"/>
        </w:rPr>
        <w:t xml:space="preserve"> работника.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запроса – поиск инновационных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, обеспечива</w:t>
      </w:r>
      <w:r>
        <w:rPr>
          <w:rFonts w:ascii="Times New Roman" w:hAnsi="Times New Roman" w:cs="Times New Roman"/>
          <w:sz w:val="28"/>
          <w:szCs w:val="28"/>
        </w:rPr>
        <w:t xml:space="preserve">ющ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видеоконтроль при движении вагонами вперед и позволяющее исключить нахождение составителя поездов на подножке вагона или в междупутье.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участие в открытом запросе могут физические или юридические лица различных организационно-правовых форм,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готовы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предложить высокотехнологичные решения стадий «готовый к использованию прототип»/ «готовый продукт»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позволяют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беспечивать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дистанционный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положением стрелочных переводов</w:t>
      </w:r>
      <w:r>
        <w:rPr>
          <w:rStyle w:val="747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свободности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железнодорожного пути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маршруту, показаниями маневровых светофоров, подаваемыми сигналами, и отсутствием препятствий и людей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маршруту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вагонами вперед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Предлагаемые решения должны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обеспечивать выполнение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нормативных документов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технической эксплуатации железных дорог Российской Федерации, утвержденные приказом Минтранса России  от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3.06.2022 № 250 (Разделы I, II, Раздел III пункты 16-29, Раздел V пункты 45, 46, 52-53, 63, 66, Раздел VI пункты 71-72, 74-81, 83, 91, Раздел VII пункты 102-104, 107, Раздел VIII пункты 118, 121, 123, 128, Раздел IX пункты 130-132, 138, 140, 143-146, 157).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1 к Правилам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технической эксплуатации железных дорог Российской Федерации, утвержденных приказом Минтранса России  от 23.06.2022. № 250 «Инструкция по сигнализации на железнодорожном транспорте Российской Федерации» (пункты 1-7, 14, 40-53, 59-66, 79-81, 88-92, 96-117);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2 к Правилам технической эксплуатации железных дорог Российской Федерации,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утвержденных приказом Минтранса России  от 23.06.2022 № 250 «Инструкция по организации движения поездов   и маневровой работы на железнодорожном транспорте Российской Федерации» (пункты 1-2, 4-7, 9, 15, 21-32, 34-38, 44, 63; Приложения № 9, 10, 11, 12, 16.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 20, пункты 1-5, 14-18, 19-22);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Распоряжение ОАО «РЖД» от 30.09.2014 № 2291р «Об утверждении инструкции составителю поездов и помощнику составителя поездов»;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Инструкция по охране труда для составителя поездов железнодорожной станции ОАО «РЖД», утвержденной распоряжением ОАО «РЖД» 08.07.2020 №1453/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Профессиональный стандарт «Составитель поездов, кондуктор грузовых поездов», утвержденный приказом Министерства труда и социальной защиты РФ от 18.10.2022  № 673н.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737"/>
        <w:numPr>
          <w:ilvl w:val="0"/>
          <w:numId w:val="0"/>
        </w:numPr>
        <w:ind w:firstLine="709"/>
        <w:spacing w:before="0" w:after="0" w:line="240" w:lineRule="auto"/>
        <w:rPr>
          <w:rFonts w:ascii="Times New Roman" w:hAnsi="Times New Roman" w:eastAsiaTheme="minorHAnsi"/>
          <w:b w:val="0"/>
          <w:sz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lang w:eastAsia="en-US"/>
        </w:rPr>
      </w:r>
      <w:r>
        <w:rPr>
          <w:rFonts w:ascii="Times New Roman" w:hAnsi="Times New Roman" w:eastAsiaTheme="minorHAnsi"/>
          <w:b w:val="0"/>
          <w:sz w:val="28"/>
          <w:lang w:eastAsia="en-US"/>
        </w:rPr>
      </w:r>
    </w:p>
    <w:p>
      <w:pPr>
        <w:ind w:firstLine="709"/>
        <w:jc w:val="both"/>
        <w:spacing w:after="120" w:line="360" w:lineRule="exac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Технические требования к Системе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pStyle w:val="738"/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должна быть предназначена для применения на железнодорожном подвижном составе, при движении вагонами вперед со скорост</w:t>
      </w:r>
      <w:r>
        <w:rPr>
          <w:rFonts w:ascii="Times New Roman" w:hAnsi="Times New Roman"/>
          <w:sz w:val="28"/>
          <w:szCs w:val="28"/>
        </w:rPr>
        <w:t xml:space="preserve">ью </w:t>
      </w:r>
      <w:r>
        <w:rPr>
          <w:rFonts w:ascii="Times New Roman" w:hAnsi="Times New Roman"/>
          <w:sz w:val="28"/>
          <w:szCs w:val="28"/>
        </w:rPr>
        <w:t xml:space="preserve">не более 25 км/ч.  </w:t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должна состоять из </w:t>
      </w:r>
      <w:r>
        <w:rPr>
          <w:rFonts w:ascii="Times New Roman" w:hAnsi="Times New Roman"/>
          <w:sz w:val="28"/>
          <w:szCs w:val="28"/>
        </w:rPr>
        <w:t xml:space="preserve">мобильно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(съемно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) устройств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и беспроводно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приемник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видеосигнала высокого разрешения для воспроизведения видео с мобильного устройства на удаленном расстоянии;</w:t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должна </w:t>
      </w:r>
      <w:r>
        <w:rPr>
          <w:rFonts w:ascii="Times New Roman" w:hAnsi="Times New Roman" w:cs="Times New Roman"/>
          <w:sz w:val="28"/>
          <w:szCs w:val="28"/>
        </w:rPr>
        <w:t xml:space="preserve">обеспеч</w:t>
      </w:r>
      <w:r>
        <w:rPr>
          <w:rFonts w:ascii="Times New Roman" w:hAnsi="Times New Roman" w:cs="Times New Roman"/>
          <w:sz w:val="28"/>
          <w:szCs w:val="28"/>
        </w:rPr>
        <w:t xml:space="preserve">ивать: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устойчи</w:t>
      </w:r>
      <w:r>
        <w:rPr>
          <w:rFonts w:ascii="Times New Roman" w:hAnsi="Times New Roman" w:cs="Times New Roman"/>
          <w:sz w:val="28"/>
          <w:szCs w:val="28"/>
        </w:rPr>
        <w:t xml:space="preserve">вость </w:t>
      </w:r>
      <w:r>
        <w:rPr>
          <w:rFonts w:ascii="Times New Roman" w:hAnsi="Times New Roman" w:cs="Times New Roman"/>
          <w:sz w:val="28"/>
          <w:szCs w:val="28"/>
        </w:rPr>
        <w:t xml:space="preserve">видеосигнала при отдалении мобильного устройства от</w:t>
      </w:r>
      <w:r>
        <w:rPr>
          <w:rFonts w:ascii="Times New Roman" w:hAnsi="Times New Roman" w:cs="Times New Roman"/>
          <w:sz w:val="28"/>
          <w:szCs w:val="28"/>
        </w:rPr>
        <w:t xml:space="preserve"> беспроводного</w:t>
      </w:r>
      <w:r>
        <w:rPr>
          <w:rFonts w:ascii="Times New Roman" w:hAnsi="Times New Roman" w:cs="Times New Roman"/>
          <w:sz w:val="28"/>
          <w:szCs w:val="28"/>
        </w:rPr>
        <w:t xml:space="preserve"> приемника на расстоянии</w:t>
      </w:r>
      <w:r>
        <w:rPr>
          <w:rFonts w:ascii="Times New Roman" w:hAnsi="Times New Roman" w:cs="Times New Roman"/>
          <w:sz w:val="28"/>
          <w:szCs w:val="28"/>
        </w:rPr>
        <w:t xml:space="preserve"> до 1000 метров, с задержкой кадра воспроизведения не более 0,2 секунды;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</w:t>
      </w:r>
      <w:r>
        <w:rPr>
          <w:rFonts w:ascii="Times New Roman" w:hAnsi="Times New Roman" w:cs="Times New Roman"/>
          <w:sz w:val="28"/>
          <w:szCs w:val="28"/>
        </w:rPr>
        <w:t xml:space="preserve">устойчивый видеосигнал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</w:rPr>
        <w:t xml:space="preserve"> визуальный контроль </w:t>
      </w:r>
      <w:r>
        <w:rPr>
          <w:rFonts w:ascii="Times New Roman" w:hAnsi="Times New Roman" w:cs="Times New Roman"/>
          <w:sz w:val="28"/>
          <w:szCs w:val="28"/>
        </w:rPr>
        <w:t xml:space="preserve">в условиях отсутствия интернета и сотовой связи;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вывод (проецирование) на приемник видеосигнала габарит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приближения строений</w:t>
      </w:r>
      <w:r>
        <w:rPr>
          <w:rStyle w:val="747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в процессе следования;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четкость и понятность изображения на приемнике с мобильного устройства с возможностью определения положени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стрелочных переводов по маршруту, распознавание сигналов маневровых светофоров и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возникающих препятствий в пути следования;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видимост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по маршруту следования не менее 200 метров с углом обзора не менее 180</w:t>
      </w:r>
      <w:r>
        <w:rPr>
          <w:rFonts w:ascii="Times New Roman" w:hAnsi="Times New Roman"/>
          <w:sz w:val="28"/>
        </w:rPr>
        <w:t xml:space="preserve">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подачи звукового и светового сигнала с мобильного устройства </w:t>
      </w:r>
      <w:r>
        <w:rPr>
          <w:rFonts w:ascii="Times New Roman" w:hAnsi="Times New Roman" w:cs="Times New Roman"/>
          <w:sz w:val="28"/>
          <w:szCs w:val="28"/>
        </w:rPr>
        <w:t xml:space="preserve">на приемник </w:t>
      </w:r>
      <w:r>
        <w:rPr>
          <w:rFonts w:ascii="Times New Roman" w:hAnsi="Times New Roman"/>
          <w:sz w:val="28"/>
        </w:rPr>
        <w:t xml:space="preserve">при приближении «хвостового вагона» к объектам на железнодорожных путях с увеличение частоты звукового сигнала по мере сближения с объектом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 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записи и хранения получаемого </w:t>
      </w:r>
      <w:r>
        <w:rPr>
          <w:rFonts w:ascii="Times New Roman" w:hAnsi="Times New Roman" w:cs="Times New Roman"/>
          <w:sz w:val="28"/>
          <w:szCs w:val="28"/>
        </w:rPr>
        <w:t xml:space="preserve">видеопотока</w:t>
      </w:r>
      <w:r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 xml:space="preserve">72 часов;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автономный режим работы Системы без подзарядки на протяжении не менее 12 часов;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работоспособность </w:t>
      </w:r>
      <w:r>
        <w:rPr>
          <w:rFonts w:ascii="Times New Roman" w:hAnsi="Times New Roman"/>
          <w:sz w:val="28"/>
        </w:rPr>
        <w:t xml:space="preserve">в предельном температурном диапазоне от минус 40</w:t>
      </w:r>
      <w:r>
        <w:rPr>
          <w:rFonts w:ascii="Times New Roman" w:hAnsi="Times New Roman"/>
          <w:sz w:val="28"/>
        </w:rPr>
        <w:t xml:space="preserve">°С</w:t>
      </w:r>
      <w:r>
        <w:rPr>
          <w:rFonts w:ascii="Times New Roman" w:hAnsi="Times New Roman"/>
          <w:sz w:val="28"/>
        </w:rPr>
        <w:t xml:space="preserve"> до плюс 45°С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работоспособность  </w:t>
      </w:r>
      <w:r>
        <w:rPr>
          <w:rFonts w:ascii="Times New Roman" w:hAnsi="Times New Roman"/>
          <w:sz w:val="28"/>
        </w:rPr>
        <w:t xml:space="preserve">в условиях влажности, запыленности, солнечного излучения и высотности над уровнем моря в соответствии с требованиями ГОСТ 33435;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8"/>
        <w:spacing w:line="360" w:lineRule="exact"/>
        <w:rPr>
          <w:rFonts w:ascii="Times New Roman" w:hAnsi="Times New Roman"/>
          <w:sz w:val="28"/>
          <w:szCs w:val="28"/>
        </w:rPr>
      </w:pPr>
      <w:r/>
      <w:bookmarkStart w:id="0" w:name="_Ref101438713"/>
      <w:r>
        <w:rPr>
          <w:rFonts w:ascii="Times New Roman" w:hAnsi="Times New Roman"/>
          <w:sz w:val="28"/>
          <w:szCs w:val="28"/>
        </w:rPr>
        <w:t xml:space="preserve">-  возможность самодиагностики</w:t>
      </w:r>
      <w:r>
        <w:rPr>
          <w:rFonts w:ascii="Times New Roman" w:hAnsi="Times New Roman"/>
          <w:sz w:val="28"/>
        </w:rPr>
        <w:t xml:space="preserve"> работоспособности Системы.</w:t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Конструкция м</w:t>
      </w:r>
      <w:r>
        <w:rPr>
          <w:rFonts w:ascii="Times New Roman" w:hAnsi="Times New Roman" w:cs="Times New Roman"/>
          <w:sz w:val="28"/>
          <w:szCs w:val="28"/>
        </w:rPr>
        <w:t xml:space="preserve">обильно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(съемно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) устройств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 xml:space="preserve">а обеспечивать: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</w:t>
      </w:r>
      <w:r>
        <w:rPr>
          <w:rFonts w:ascii="Times New Roman" w:hAnsi="Times New Roman" w:cs="Times New Roman"/>
          <w:sz w:val="28"/>
          <w:szCs w:val="28"/>
        </w:rPr>
        <w:t xml:space="preserve">возможность установки </w:t>
      </w:r>
      <w:r>
        <w:rPr>
          <w:rFonts w:ascii="Times New Roman" w:hAnsi="Times New Roman"/>
          <w:sz w:val="28"/>
        </w:rPr>
        <w:t xml:space="preserve">на любых типах вагонов и тягового подвижного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не нарушая</w:t>
      </w:r>
      <w:r>
        <w:rPr>
          <w:rFonts w:ascii="Times New Roman" w:hAnsi="Times New Roman" w:cs="Times New Roman"/>
          <w:sz w:val="28"/>
          <w:szCs w:val="28"/>
        </w:rPr>
        <w:t xml:space="preserve"> габарит подвижного состава;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</w:t>
      </w:r>
      <w:r>
        <w:rPr>
          <w:rFonts w:ascii="Times New Roman" w:hAnsi="Times New Roman" w:cs="Times New Roman"/>
          <w:sz w:val="28"/>
          <w:szCs w:val="28"/>
        </w:rPr>
        <w:t xml:space="preserve">возможность установки </w:t>
      </w:r>
      <w:r>
        <w:rPr>
          <w:rFonts w:ascii="Times New Roman" w:hAnsi="Times New Roman" w:cs="Times New Roman"/>
          <w:sz w:val="28"/>
          <w:szCs w:val="28"/>
        </w:rPr>
        <w:t xml:space="preserve">и снятия </w:t>
      </w:r>
      <w:r>
        <w:rPr>
          <w:rFonts w:ascii="Times New Roman" w:hAnsi="Times New Roman" w:cs="Times New Roman"/>
          <w:sz w:val="28"/>
          <w:szCs w:val="28"/>
        </w:rPr>
        <w:t xml:space="preserve">(монтаж, демонтаж) </w:t>
      </w:r>
      <w:r>
        <w:rPr>
          <w:rFonts w:ascii="Times New Roman" w:hAnsi="Times New Roman" w:cs="Times New Roman"/>
          <w:sz w:val="28"/>
          <w:szCs w:val="28"/>
        </w:rPr>
        <w:t xml:space="preserve">одним работником в течение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 возможность удобной и безопасной транспортировки.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 мобильного устройства не должен превышать 4 кг.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742"/>
        <w:spacing w:line="36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напряжения электромагнитных помех, создаваемый Системой не должен создавать помехи (оказывать мешающего или опас</w:t>
      </w:r>
      <w:r>
        <w:rPr>
          <w:rFonts w:ascii="Times New Roman" w:hAnsi="Times New Roman"/>
          <w:sz w:val="28"/>
        </w:rPr>
        <w:t xml:space="preserve">ного влияния) работе рельсовых цепей устройств СЦБ и автоматической локомотивной сигнализации (АЛС), проводных линий связи, систем радиосвязи, радио и телевещания, средств автоматического контроля технического состояния железнодорожного подвижного состава.</w:t>
      </w:r>
      <w:r>
        <w:rPr>
          <w:rFonts w:ascii="Times New Roman" w:hAnsi="Times New Roman"/>
          <w:sz w:val="28"/>
        </w:rPr>
      </w:r>
    </w:p>
    <w:p>
      <w:pPr>
        <w:pStyle w:val="742"/>
        <w:spacing w:line="36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должна удовлетворять требованиям пожарной безопасности во всех регламентированных режимах работы, а также в условиях неисправности.</w:t>
      </w:r>
      <w:r>
        <w:rPr>
          <w:rFonts w:ascii="Times New Roman" w:hAnsi="Times New Roman"/>
          <w:sz w:val="28"/>
        </w:rPr>
      </w:r>
    </w:p>
    <w:p>
      <w:pPr>
        <w:pStyle w:val="738"/>
        <w:spacing w:line="360" w:lineRule="exact"/>
        <w:rPr>
          <w:rFonts w:ascii="Times New Roman" w:hAnsi="Times New Roman"/>
          <w:sz w:val="28"/>
          <w:szCs w:val="28"/>
        </w:rPr>
      </w:pPr>
      <w:r/>
      <w:bookmarkStart w:id="1" w:name="_Toc103325629"/>
      <w:r/>
      <w:bookmarkStart w:id="2" w:name="_Toc103325632"/>
      <w:r/>
      <w:bookmarkStart w:id="3" w:name="_Toc103325633"/>
      <w:r/>
      <w:bookmarkStart w:id="4" w:name="_Toc103325634"/>
      <w:r/>
      <w:bookmarkStart w:id="5" w:name="_Toc103325642"/>
      <w:r/>
      <w:bookmarkStart w:id="6" w:name="_Toc103325643"/>
      <w:r/>
      <w:bookmarkStart w:id="7" w:name="_Toc103325646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rFonts w:ascii="Times New Roman" w:hAnsi="Times New Roman"/>
          <w:sz w:val="28"/>
          <w:szCs w:val="28"/>
        </w:rPr>
        <w:t xml:space="preserve">Система не должна оказывать негативного воздействия на здоровье обслуживающего и эксплуатационного персонала во всех возможных режимах работы и при неисправности.</w:t>
      </w:r>
      <w:r>
        <w:rPr>
          <w:rFonts w:ascii="Times New Roman" w:hAnsi="Times New Roman"/>
          <w:sz w:val="28"/>
          <w:szCs w:val="28"/>
        </w:rPr>
      </w:r>
    </w:p>
    <w:p>
      <w:pPr>
        <w:pStyle w:val="738"/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Гарантийный срок службы Системы должен составлять не менее одного года с момента начала использования.</w:t>
      </w:r>
      <w:r>
        <w:rPr>
          <w:rFonts w:ascii="Times New Roman" w:hAnsi="Times New Roman"/>
          <w:sz w:val="28"/>
          <w:szCs w:val="28"/>
        </w:rPr>
      </w:r>
    </w:p>
    <w:p>
      <w:pPr>
        <w:pStyle w:val="740"/>
        <w:numPr>
          <w:ilvl w:val="0"/>
          <w:numId w:val="0"/>
        </w:numPr>
        <w:ind w:firstLine="709"/>
        <w:spacing w:before="0" w:line="36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Преимущества участия для компаний и решений: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возможность опытной эксплуатации инновационного решения на объектах ОАО «РЖД» (тяговый подвижной состав, грузовые и пассажирские  вагоны, объекты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инфраструктуры). В рамках данного этапа заявитель предоставляет продукт/услугу в рамках заявленного «открытого запроса» инновационного предложения на определенный заявителем и функциональным заказчиком срок на безвозмездной основе для проведения испытаний;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возможность закупки предлагаемого инновационного решения в случае подтверждения эффективности в рамках первичного внедрения и дальнейшего тиражирования;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готовность заявителя за счет собственных средств доработать и адаптировать предлагаемое решение для нужд железнодорожного транспорта.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Поданные решения будут оцениваться специально сформированной рабочей группой в составе представителей функционального заказчика, подразделений холдинга «РЖД».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документов, предоставляемых заявителем инновационного решения на рассмотрение: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описание (пояснительная записка) инновационного проекта;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презентационные материалы инновационного проекта в формате *.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pptx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*.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указания технико-экономических показателей (стоимость, технические характеристики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технических требований));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документы, подтверждающие права Заявителя на содержащиеся в предлагаемом инновационном решении результаты интеллектуальной деятельности (в случае наличия) В случае если Заявитель не является разработчиком, производителем и обладателем правами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предлагаемому решению, он должен являться уполномоченным представителем разработчика, производителя или правообладателем РИД на предлагаемое в рамках Открытого запроса инновационное решение. При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отсутствии документального подтверждения от разработчика, производителя или правообладателя РИД на предлагаемое решение заявка Заявителя может быть оставлена без рассмотрения рабочей группой открытого запроса.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в период с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2025 г. по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г. через специализированный раздел «Открытый запрос» автоматизированной системы «Единое окно инноваций» корпоративного интернет портала ОАО «РЖД».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В случае возникновения вопросов при формировании материалов в рамках процедуры открытого запроса Заявитель инновационного решения может обратиться: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по вопросам участия в открытом запросе: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</w:r>
    </w:p>
    <w:p>
      <w:pPr>
        <w:contextualSpacing/>
        <w:jc w:val="both"/>
        <w:spacing w:after="0" w:line="360" w:lineRule="exac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– к эксперту отдела по работе с открытыми инновациями Центра инновационного развития Шведу Михаилу Николаевичу (контактный телефон 8-499-260-42-98, </w:t>
      </w:r>
      <w:hyperlink r:id="rId12" w:tooltip="mailto:ShvedMiN@center.rzd.ru" w:history="1">
        <w:r>
          <w:rPr>
            <w:rStyle w:val="73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ShvedMiN@center.rzd.</w:t>
        </w:r>
        <w:r>
          <w:rPr>
            <w:rStyle w:val="73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contextualSpacing/>
        <w:ind w:firstLine="709"/>
        <w:jc w:val="both"/>
        <w:spacing w:after="0" w:line="360" w:lineRule="exac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к эксперту группы акселерационных программ Центра инновационного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Ткалуну</w:t>
      </w:r>
      <w:r>
        <w:rPr>
          <w:rFonts w:ascii="Times New Roman" w:hAnsi="Times New Roman" w:cs="Times New Roman"/>
          <w:sz w:val="28"/>
          <w:szCs w:val="28"/>
        </w:rPr>
        <w:t xml:space="preserve"> Роману Васильевичу (контактный телефон 8-499-262-63-17, </w:t>
      </w:r>
      <w:hyperlink r:id="rId13" w:tooltip="mailto:TkalunRV@center.rzd.ru" w:history="1">
        <w:r>
          <w:rPr>
            <w:rStyle w:val="73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TkalunRV@center.rzd.ru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итогах проведения открытого запроса будет размещена в новостном разделе информационно-функционального ресурса «Единое окно инноваций» (</w:t>
      </w:r>
      <w:r>
        <w:rPr>
          <w:rStyle w:val="733"/>
          <w:rFonts w:ascii="Times New Roman" w:hAnsi="Times New Roman" w:cs="Times New Roman" w:eastAsiaTheme="minorEastAsia"/>
          <w:sz w:val="28"/>
          <w:szCs w:val="28"/>
        </w:rPr>
        <w:t xml:space="preserve">https://eoi.rzd.ru/front</w:t>
      </w:r>
      <w:r>
        <w:rPr>
          <w:rFonts w:ascii="Times New Roman" w:hAnsi="Times New Roman" w:cs="Times New Roman"/>
          <w:sz w:val="28"/>
          <w:szCs w:val="28"/>
        </w:rPr>
        <w:t xml:space="preserve">) по итогам проведения соответствующих экспертных процедур.</w:t>
      </w:r>
      <w:r/>
    </w:p>
    <w:p>
      <w:pPr>
        <w:contextualSpacing/>
        <w:ind w:firstLine="709"/>
        <w:jc w:val="both"/>
        <w:spacing w:after="0" w:line="360" w:lineRule="exac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360" w:lineRule="exact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Malgun Gothic">
    <w:panose1 w:val="020B0603030804020204"/>
  </w:font>
  <w:font w:name="Times New Roman">
    <w:panose1 w:val="02020603050405020304"/>
  </w:font>
  <w:font w:name="Calibri">
    <w:panose1 w:val="020F0502020204030204"/>
  </w:font>
  <w:font w:name="PT Astra Serif"/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48"/>
        <w:jc w:val="both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Style w:val="747"/>
        </w:rPr>
        <w:footnoteRef/>
      </w:r>
      <w:r>
        <w:t xml:space="preserve"> </w:t>
      </w:r>
      <w:r>
        <w:rPr>
          <w:sz w:val="20"/>
          <w:szCs w:val="20"/>
        </w:rPr>
        <w:t xml:space="preserve">ГОСТ 33535-2015. М</w:t>
      </w:r>
      <w:r>
        <w:rPr>
          <w:bCs/>
          <w:sz w:val="20"/>
          <w:szCs w:val="20"/>
        </w:rPr>
        <w:t xml:space="preserve">ежгосударственный стандарт соединения и пересечения железнодорожных путей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т</w:t>
      </w:r>
      <w:r>
        <w:rPr>
          <w:bCs/>
          <w:sz w:val="20"/>
          <w:szCs w:val="20"/>
        </w:rPr>
        <w:t xml:space="preserve">ехнические условия</w:t>
      </w:r>
      <w:r>
        <w:rPr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</w:r>
    </w:p>
    <w:p>
      <w:pPr>
        <w:pStyle w:val="748"/>
        <w:jc w:val="center"/>
        <w:spacing w:before="0" w:beforeAutospacing="0" w:after="0" w:afterAutospacing="0"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  </w:t>
      </w:r>
      <w:r>
        <w:rPr>
          <w:rFonts w:ascii="Arial" w:hAnsi="Arial" w:cs="Arial"/>
          <w:bCs/>
        </w:rPr>
      </w:r>
    </w:p>
    <w:p>
      <w:pPr>
        <w:pStyle w:val="745"/>
      </w:pPr>
      <w:r/>
      <w:r/>
    </w:p>
  </w:footnote>
  <w:footnote w:id="3">
    <w:p>
      <w:pPr>
        <w:pStyle w:val="737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b w:val="0"/>
          <w:bCs/>
          <w:sz w:val="20"/>
          <w:szCs w:val="20"/>
        </w:rPr>
      </w:pPr>
      <w:r>
        <w:rPr>
          <w:rStyle w:val="747"/>
          <w:b w:val="0"/>
          <w:sz w:val="20"/>
          <w:szCs w:val="20"/>
        </w:rPr>
        <w:footnoteRef/>
      </w:r>
      <w:r>
        <w:rPr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 xml:space="preserve">Межгосударственный стандарт</w:t>
      </w:r>
      <w:r>
        <w:rPr>
          <w:rFonts w:ascii="Times New Roman" w:hAnsi="Times New Roman"/>
          <w:b w:val="0"/>
          <w:sz w:val="20"/>
          <w:szCs w:val="20"/>
        </w:rPr>
        <w:t xml:space="preserve">.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 xml:space="preserve">г</w:t>
      </w:r>
      <w:r>
        <w:rPr>
          <w:rFonts w:ascii="Times New Roman" w:hAnsi="Times New Roman"/>
          <w:b w:val="0"/>
          <w:sz w:val="20"/>
          <w:szCs w:val="20"/>
        </w:rPr>
        <w:t xml:space="preserve">абариты железнодорожного подвижного состава и приближения строений.  </w:t>
      </w:r>
      <w:r>
        <w:rPr>
          <w:rFonts w:ascii="Times New Roman" w:hAnsi="Times New Roman"/>
          <w:b w:val="0"/>
          <w:bCs/>
          <w:sz w:val="20"/>
          <w:szCs w:val="20"/>
        </w:rPr>
        <w:t xml:space="preserve">ГОСТ 9238-2022</w:t>
      </w:r>
      <w:r>
        <w:rPr>
          <w:rFonts w:ascii="Times New Roman" w:hAnsi="Times New Roman"/>
          <w:b w:val="0"/>
          <w:bCs/>
          <w:sz w:val="20"/>
          <w:szCs w:val="20"/>
        </w:rPr>
      </w:r>
    </w:p>
    <w:p>
      <w:pPr>
        <w:pStyle w:val="745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49641639"/>
      <w:docPartObj>
        <w:docPartGallery w:val="Page Numbers (Top of Page)"/>
        <w:docPartUnique w:val="true"/>
      </w:docPartObj>
      <w:rPr/>
    </w:sdtPr>
    <w:sdtContent>
      <w:p>
        <w:pPr>
          <w:pStyle w:val="7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35"/>
      <w:isLgl w:val="false"/>
      <w:suff w:val="space"/>
      <w:lvlText w:val="%1)"/>
      <w:lvlJc w:val="left"/>
      <w:pPr>
        <w:ind w:left="-283" w:firstLine="709"/>
        <w:tabs>
          <w:tab w:val="num" w:pos="-283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position w:val="0"/>
        <w:u w:val="none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739"/>
      <w:isLgl w:val="false"/>
      <w:suff w:val="space"/>
      <w:lvlText w:val=""/>
      <w:lvlJc w:val="left"/>
      <w:pPr>
        <w:ind w:left="2694" w:firstLine="709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pStyle w:val="737"/>
      <w:isLgl w:val="false"/>
      <w:suff w:val="space"/>
      <w:lvlText w:val="%1"/>
      <w:lvlJc w:val="left"/>
      <w:pPr>
        <w:ind w:left="0" w:firstLine="709"/>
      </w:pPr>
      <w:rPr>
        <w:rFonts w:hint="default" w:ascii="PT Astra Serif" w:hAnsi="PT Astra Serif"/>
        <w:b/>
        <w:i w:val="0"/>
        <w:color w:val="auto"/>
        <w:sz w:val="28"/>
      </w:rPr>
    </w:lvl>
    <w:lvl w:ilvl="1">
      <w:start w:val="1"/>
      <w:numFmt w:val="decimal"/>
      <w:pStyle w:val="737"/>
      <w:isLgl w:val="false"/>
      <w:suff w:val="space"/>
      <w:lvlText w:val="%1.%2"/>
      <w:lvlJc w:val="left"/>
      <w:pPr>
        <w:ind w:left="0" w:firstLine="709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740"/>
      <w:isLgl w:val="false"/>
      <w:suff w:val="space"/>
      <w:lvlText w:val="%1.%2.%3"/>
      <w:lvlJc w:val="left"/>
      <w:pPr>
        <w:ind w:left="326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743"/>
      <w:isLgl w:val="false"/>
      <w:suff w:val="space"/>
      <w:lvlText w:val="%1.%2.%3.%4.%5"/>
      <w:lvlJc w:val="left"/>
      <w:pPr>
        <w:ind w:left="0" w:firstLine="709"/>
      </w:pPr>
      <w:rPr>
        <w:rFonts w:hint="default" w:ascii="PT Astra Serif" w:hAnsi="PT Astra Serif"/>
        <w:b w:val="0"/>
        <w:i w:val="0"/>
        <w:color w:val="auto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09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09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09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09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9"/>
    <w:next w:val="7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9"/>
    <w:next w:val="7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9"/>
    <w:next w:val="7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9"/>
    <w:next w:val="7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9"/>
    <w:next w:val="7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9"/>
    <w:next w:val="7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9"/>
    <w:next w:val="7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9"/>
    <w:next w:val="7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9"/>
    <w:next w:val="7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9"/>
    <w:next w:val="7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0"/>
    <w:link w:val="34"/>
    <w:uiPriority w:val="10"/>
    <w:rPr>
      <w:sz w:val="48"/>
      <w:szCs w:val="48"/>
    </w:rPr>
  </w:style>
  <w:style w:type="paragraph" w:styleId="36">
    <w:name w:val="Subtitle"/>
    <w:basedOn w:val="729"/>
    <w:next w:val="7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0"/>
    <w:link w:val="36"/>
    <w:uiPriority w:val="11"/>
    <w:rPr>
      <w:sz w:val="24"/>
      <w:szCs w:val="24"/>
    </w:rPr>
  </w:style>
  <w:style w:type="paragraph" w:styleId="38">
    <w:name w:val="Quote"/>
    <w:basedOn w:val="729"/>
    <w:next w:val="7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9"/>
    <w:next w:val="7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0"/>
    <w:link w:val="756"/>
    <w:uiPriority w:val="99"/>
  </w:style>
  <w:style w:type="character" w:styleId="45">
    <w:name w:val="Footer Char"/>
    <w:basedOn w:val="730"/>
    <w:link w:val="758"/>
    <w:uiPriority w:val="99"/>
  </w:style>
  <w:style w:type="paragraph" w:styleId="46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8"/>
    <w:uiPriority w:val="99"/>
  </w:style>
  <w:style w:type="table" w:styleId="48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45"/>
    <w:uiPriority w:val="99"/>
    <w:rPr>
      <w:sz w:val="18"/>
    </w:rPr>
  </w:style>
  <w:style w:type="paragraph" w:styleId="178">
    <w:name w:val="endnote text"/>
    <w:basedOn w:val="7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0"/>
    <w:uiPriority w:val="99"/>
    <w:semiHidden/>
    <w:unhideWhenUsed/>
    <w:rPr>
      <w:vertAlign w:val="superscript"/>
    </w:rPr>
  </w:style>
  <w:style w:type="paragraph" w:styleId="181">
    <w:name w:val="toc 1"/>
    <w:basedOn w:val="729"/>
    <w:next w:val="7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9"/>
    <w:next w:val="7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9"/>
    <w:next w:val="7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qFormat/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>
    <w:name w:val="Hyperlink"/>
    <w:basedOn w:val="730"/>
    <w:uiPriority w:val="99"/>
    <w:unhideWhenUsed/>
    <w:rPr>
      <w:color w:val="0000ff" w:themeColor="hyperlink"/>
      <w:u w:val="single"/>
    </w:rPr>
  </w:style>
  <w:style w:type="paragraph" w:styleId="734" w:customStyle="1">
    <w:name w:val="Абзац списка1"/>
    <w:basedOn w:val="729"/>
    <w:pPr>
      <w:contextualSpacing/>
      <w:ind w:left="720"/>
    </w:pPr>
    <w:rPr>
      <w:rFonts w:ascii="Calibri" w:hAnsi="Calibri" w:eastAsia="Times New Roman" w:cs="Times New Roman"/>
    </w:rPr>
  </w:style>
  <w:style w:type="paragraph" w:styleId="735" w:customStyle="1">
    <w:name w:val="_ТМХ_СПИСОК_123)_1ур"/>
    <w:qFormat/>
    <w:pPr>
      <w:numPr>
        <w:ilvl w:val="0"/>
        <w:numId w:val="1"/>
      </w:numPr>
      <w:jc w:val="both"/>
      <w:spacing w:after="0"/>
    </w:pPr>
    <w:rPr>
      <w:rFonts w:ascii="PT Astra Serif" w:hAnsi="PT Astra Serif" w:eastAsia="Times New Roman" w:cs="Times New Roman"/>
      <w:bCs/>
      <w:sz w:val="24"/>
      <w:szCs w:val="28"/>
      <w:shd w:val="clear" w:color="auto" w:fill="ffffff"/>
      <w:lang w:eastAsia="ru-RU"/>
    </w:rPr>
  </w:style>
  <w:style w:type="paragraph" w:styleId="736" w:customStyle="1">
    <w:name w:val="_ТМХ_1"/>
    <w:next w:val="729"/>
    <w:qFormat/>
    <w:pPr>
      <w:ind w:firstLine="709"/>
      <w:keepNext/>
      <w:pageBreakBefore/>
      <w:spacing w:before="480" w:after="240"/>
      <w:outlineLvl w:val="0"/>
    </w:pPr>
    <w:rPr>
      <w:rFonts w:ascii="PT Astra Serif" w:hAnsi="PT Astra Serif" w:eastAsia="Times New Roman" w:cs="Times New Roman"/>
      <w:b/>
      <w:sz w:val="28"/>
      <w:szCs w:val="28"/>
      <w:shd w:val="clear" w:color="auto" w:fill="ffffff"/>
      <w:lang w:eastAsia="ru-RU"/>
    </w:rPr>
  </w:style>
  <w:style w:type="paragraph" w:styleId="737" w:customStyle="1">
    <w:name w:val="_ТМХ_1.1"/>
    <w:qFormat/>
    <w:pPr>
      <w:numPr>
        <w:ilvl w:val="1"/>
        <w:numId w:val="3"/>
      </w:numPr>
      <w:jc w:val="both"/>
      <w:keepNext/>
      <w:spacing w:before="240" w:after="120"/>
      <w:outlineLvl w:val="1"/>
    </w:pPr>
    <w:rPr>
      <w:rFonts w:ascii="PT Astra Serif" w:hAnsi="PT Astra Serif" w:eastAsia="Times New Roman" w:cs="Times New Roman"/>
      <w:b/>
      <w:sz w:val="26"/>
      <w:szCs w:val="28"/>
      <w:shd w:val="clear" w:color="auto" w:fill="ffffff"/>
      <w:lang w:eastAsia="ru-RU"/>
    </w:rPr>
  </w:style>
  <w:style w:type="paragraph" w:styleId="738" w:customStyle="1">
    <w:name w:val="_ТМХ_Основной"/>
    <w:qFormat/>
    <w:pPr>
      <w:ind w:firstLine="709"/>
      <w:jc w:val="both"/>
      <w:spacing w:after="0"/>
    </w:pPr>
    <w:rPr>
      <w:rFonts w:ascii="PT Astra Serif" w:hAnsi="PT Astra Serif" w:eastAsia="Times New Roman" w:cs="Times New Roman"/>
      <w:sz w:val="24"/>
      <w:szCs w:val="32"/>
    </w:rPr>
  </w:style>
  <w:style w:type="paragraph" w:styleId="739" w:customStyle="1">
    <w:name w:val="_ТМХ_СПИСОК_марк_1ур"/>
    <w:qFormat/>
    <w:pPr>
      <w:numPr>
        <w:ilvl w:val="0"/>
        <w:numId w:val="2"/>
      </w:numPr>
      <w:ind w:left="0"/>
      <w:jc w:val="both"/>
      <w:spacing w:after="0"/>
    </w:pPr>
    <w:rPr>
      <w:rFonts w:ascii="PT Astra Serif" w:hAnsi="PT Astra Serif" w:eastAsia="Times New Roman" w:cs="Times New Roman"/>
      <w:sz w:val="24"/>
      <w:szCs w:val="28"/>
      <w:lang w:eastAsia="ru-RU"/>
    </w:rPr>
  </w:style>
  <w:style w:type="paragraph" w:styleId="740" w:customStyle="1">
    <w:name w:val="_ТМХ_1.1.1"/>
    <w:link w:val="741"/>
    <w:qFormat/>
    <w:pPr>
      <w:numPr>
        <w:ilvl w:val="2"/>
        <w:numId w:val="3"/>
      </w:numPr>
      <w:ind w:left="1418"/>
      <w:jc w:val="both"/>
      <w:spacing w:before="120" w:after="0"/>
      <w:outlineLvl w:val="2"/>
    </w:pPr>
    <w:rPr>
      <w:rFonts w:ascii="PT Astra Serif" w:hAnsi="PT Astra Serif" w:eastAsia="Times New Roman" w:cs="Times New Roman"/>
      <w:sz w:val="24"/>
      <w:szCs w:val="28"/>
      <w:shd w:val="clear" w:color="auto" w:fill="ffffff"/>
      <w:lang w:eastAsia="ru-RU"/>
    </w:rPr>
  </w:style>
  <w:style w:type="character" w:styleId="741" w:customStyle="1">
    <w:name w:val="_ТМХ_1.1.1 Знак"/>
    <w:basedOn w:val="730"/>
    <w:link w:val="740"/>
    <w:rPr>
      <w:rFonts w:ascii="PT Astra Serif" w:hAnsi="PT Astra Serif" w:eastAsia="Times New Roman" w:cs="Times New Roman"/>
      <w:sz w:val="24"/>
      <w:szCs w:val="28"/>
      <w:lang w:eastAsia="ru-RU"/>
    </w:rPr>
  </w:style>
  <w:style w:type="paragraph" w:styleId="742" w:customStyle="1">
    <w:name w:val="_ТМХ_1.1.1.1"/>
    <w:qFormat/>
    <w:pPr>
      <w:ind w:firstLine="709"/>
      <w:jc w:val="both"/>
      <w:spacing w:after="0"/>
      <w:outlineLvl w:val="3"/>
    </w:pPr>
    <w:rPr>
      <w:rFonts w:ascii="PT Astra Serif" w:hAnsi="PT Astra Serif" w:eastAsia="Times New Roman" w:cs="Times New Roman"/>
      <w:sz w:val="24"/>
      <w:szCs w:val="28"/>
      <w:shd w:val="clear" w:color="auto" w:fill="ffffff"/>
      <w:lang w:eastAsia="ru-RU"/>
    </w:rPr>
  </w:style>
  <w:style w:type="paragraph" w:styleId="743" w:customStyle="1">
    <w:name w:val="_ТМХ_1.1.1.1.1"/>
    <w:qFormat/>
    <w:pPr>
      <w:numPr>
        <w:ilvl w:val="4"/>
        <w:numId w:val="3"/>
      </w:numPr>
      <w:jc w:val="both"/>
      <w:spacing w:after="0"/>
      <w:outlineLvl w:val="4"/>
    </w:pPr>
    <w:rPr>
      <w:rFonts w:ascii="PT Astra Serif" w:hAnsi="PT Astra Serif" w:eastAsia="Times New Roman" w:cs="Times New Roman"/>
      <w:sz w:val="24"/>
      <w:szCs w:val="28"/>
      <w:shd w:val="clear" w:color="auto" w:fill="ffffff"/>
      <w:lang w:eastAsia="ru-RU"/>
    </w:rPr>
  </w:style>
  <w:style w:type="paragraph" w:styleId="744" w:customStyle="1">
    <w:name w:val="_ТМХ_СПИСОК_марк_2ур"/>
    <w:basedOn w:val="739"/>
    <w:qFormat/>
    <w:pPr>
      <w:ind w:left="1191" w:hanging="227"/>
    </w:pPr>
  </w:style>
  <w:style w:type="paragraph" w:styleId="745">
    <w:name w:val="footnote text"/>
    <w:basedOn w:val="729"/>
    <w:link w:val="74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46" w:customStyle="1">
    <w:name w:val="Текст сноски Знак"/>
    <w:basedOn w:val="730"/>
    <w:link w:val="745"/>
    <w:uiPriority w:val="99"/>
    <w:semiHidden/>
    <w:rPr>
      <w:sz w:val="20"/>
      <w:szCs w:val="20"/>
    </w:rPr>
  </w:style>
  <w:style w:type="character" w:styleId="747">
    <w:name w:val="footnote reference"/>
    <w:basedOn w:val="730"/>
    <w:uiPriority w:val="99"/>
    <w:semiHidden/>
    <w:unhideWhenUsed/>
    <w:rPr>
      <w:vertAlign w:val="superscript"/>
    </w:rPr>
  </w:style>
  <w:style w:type="paragraph" w:styleId="748">
    <w:name w:val="Normal (Web)"/>
    <w:basedOn w:val="7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9">
    <w:name w:val="annotation reference"/>
    <w:basedOn w:val="730"/>
    <w:uiPriority w:val="99"/>
    <w:semiHidden/>
    <w:unhideWhenUsed/>
    <w:rPr>
      <w:sz w:val="16"/>
      <w:szCs w:val="16"/>
    </w:rPr>
  </w:style>
  <w:style w:type="paragraph" w:styleId="750">
    <w:name w:val="annotation text"/>
    <w:basedOn w:val="729"/>
    <w:link w:val="75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51" w:customStyle="1">
    <w:name w:val="Текст примечания Знак"/>
    <w:basedOn w:val="730"/>
    <w:link w:val="750"/>
    <w:uiPriority w:val="99"/>
    <w:semiHidden/>
    <w:rPr>
      <w:sz w:val="20"/>
      <w:szCs w:val="20"/>
    </w:rPr>
  </w:style>
  <w:style w:type="paragraph" w:styleId="752">
    <w:name w:val="annotation subject"/>
    <w:basedOn w:val="750"/>
    <w:next w:val="750"/>
    <w:link w:val="753"/>
    <w:uiPriority w:val="99"/>
    <w:semiHidden/>
    <w:unhideWhenUsed/>
    <w:rPr>
      <w:b/>
      <w:bCs/>
    </w:rPr>
  </w:style>
  <w:style w:type="character" w:styleId="753" w:customStyle="1">
    <w:name w:val="Тема примечания Знак"/>
    <w:basedOn w:val="751"/>
    <w:link w:val="752"/>
    <w:uiPriority w:val="99"/>
    <w:semiHidden/>
    <w:rPr>
      <w:b/>
      <w:bCs/>
    </w:rPr>
  </w:style>
  <w:style w:type="paragraph" w:styleId="754">
    <w:name w:val="Balloon Text"/>
    <w:basedOn w:val="729"/>
    <w:link w:val="7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55" w:customStyle="1">
    <w:name w:val="Текст выноски Знак"/>
    <w:basedOn w:val="730"/>
    <w:link w:val="754"/>
    <w:uiPriority w:val="99"/>
    <w:semiHidden/>
    <w:rPr>
      <w:rFonts w:ascii="Tahoma" w:hAnsi="Tahoma" w:cs="Tahoma"/>
      <w:sz w:val="16"/>
      <w:szCs w:val="16"/>
    </w:rPr>
  </w:style>
  <w:style w:type="paragraph" w:styleId="756">
    <w:name w:val="Header"/>
    <w:basedOn w:val="729"/>
    <w:link w:val="7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7" w:customStyle="1">
    <w:name w:val="Верхний колонтитул Знак"/>
    <w:basedOn w:val="730"/>
    <w:link w:val="756"/>
    <w:uiPriority w:val="99"/>
  </w:style>
  <w:style w:type="paragraph" w:styleId="758">
    <w:name w:val="Footer"/>
    <w:basedOn w:val="729"/>
    <w:link w:val="7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9" w:customStyle="1">
    <w:name w:val="Нижний колонтитул Знак"/>
    <w:basedOn w:val="730"/>
    <w:link w:val="758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eoi.rzd.ru/Ex/Claim/View/472" TargetMode="External"/><Relationship Id="rId12" Type="http://schemas.openxmlformats.org/officeDocument/2006/relationships/hyperlink" Target="mailto:ShvedMiN@center.rzd.ru" TargetMode="External"/><Relationship Id="rId13" Type="http://schemas.openxmlformats.org/officeDocument/2006/relationships/hyperlink" Target="mailto:TkalunRV@center.rz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51B25DF-E1BA-435C-9153-DA614691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OAO RZD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НАТТ НАТТ</cp:lastModifiedBy>
  <cp:revision>5</cp:revision>
  <dcterms:created xsi:type="dcterms:W3CDTF">2025-10-03T08:46:00Z</dcterms:created>
  <dcterms:modified xsi:type="dcterms:W3CDTF">2025-11-28T08:07:54Z</dcterms:modified>
</cp:coreProperties>
</file>