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66" w:rsidRPr="00D20866" w:rsidRDefault="00D20866" w:rsidP="00D20866">
      <w:pPr>
        <w:jc w:val="center"/>
        <w:rPr>
          <w:rFonts w:ascii="Times New Roman" w:hAnsi="Times New Roman" w:cs="Times New Roman"/>
          <w:sz w:val="24"/>
        </w:rPr>
      </w:pPr>
      <w:r w:rsidRPr="00D20866">
        <w:rPr>
          <w:rFonts w:ascii="Times New Roman" w:hAnsi="Times New Roman" w:cs="Times New Roman"/>
          <w:sz w:val="24"/>
        </w:rPr>
        <w:t>Опросный лист партнера</w:t>
      </w:r>
    </w:p>
    <w:tbl>
      <w:tblPr>
        <w:tblW w:w="5047" w:type="pct"/>
        <w:tblLayout w:type="fixed"/>
        <w:tblLook w:val="04A0"/>
      </w:tblPr>
      <w:tblGrid>
        <w:gridCol w:w="674"/>
        <w:gridCol w:w="2272"/>
        <w:gridCol w:w="2409"/>
        <w:gridCol w:w="9570"/>
      </w:tblGrid>
      <w:tr w:rsidR="00D20866" w:rsidRPr="00D20866" w:rsidTr="007D6415">
        <w:trPr>
          <w:trHeight w:val="324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2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для ответа</w:t>
            </w:r>
          </w:p>
        </w:tc>
      </w:tr>
      <w:tr w:rsidR="00D20866" w:rsidRPr="00D20866" w:rsidTr="007D6415">
        <w:trPr>
          <w:trHeight w:val="31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D20866" w:rsidRPr="00D20866" w:rsidTr="00F44F49">
        <w:trPr>
          <w:trHeight w:val="624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расположение, масштаб организации, сколько лет функционирует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4CD" w:rsidRPr="003514CD" w:rsidRDefault="003514CD" w:rsidP="00F4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119991, г. Москва, ул. Ленинские горы, д. 1, стр. 75-В</w:t>
            </w:r>
          </w:p>
          <w:p w:rsidR="00D20866" w:rsidRPr="00D20866" w:rsidRDefault="003514CD" w:rsidP="00F4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сотрудников - 19 чел. </w:t>
            </w: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Функционирует 14 лет</w:t>
            </w:r>
          </w:p>
        </w:tc>
      </w:tr>
      <w:tr w:rsidR="003514CD" w:rsidRPr="00D20866" w:rsidTr="00F44F49">
        <w:trPr>
          <w:trHeight w:val="624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регулярного производства: типы продукции, объемы, технология производства. </w:t>
            </w:r>
            <w:proofErr w:type="gramStart"/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в целевой/смежных для проекта областях</w:t>
            </w:r>
            <w:proofErr w:type="gram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361" w:rsidRPr="00840361" w:rsidRDefault="00840361" w:rsidP="00F4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 обеспечена необходимым оборудованием для проведения научно-исследовательских работ  в области разработки процессов и катализаторов и их тестирования.</w:t>
            </w:r>
          </w:p>
          <w:p w:rsidR="00D20866" w:rsidRPr="00D20866" w:rsidRDefault="00D20866" w:rsidP="00F4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4CD" w:rsidRPr="00D20866" w:rsidTr="00AB0762">
        <w:trPr>
          <w:trHeight w:val="407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866" w:rsidRPr="00D20866" w:rsidRDefault="00D20866" w:rsidP="00A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Ведется ли  научно-исследовательская деятельность/проектирование, какие типы исследований выполняются, их масштаб, эффективность, опыт коммерциализации разработок. </w:t>
            </w:r>
            <w:proofErr w:type="gramStart"/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в целевой/смежных </w:t>
            </w: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проекта областях</w:t>
            </w:r>
            <w:proofErr w:type="gram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Привести примеры собственных разработок, внедрены ли они в производство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CD" w:rsidRPr="00246C4E" w:rsidRDefault="003514CD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 активно занимается научно-исследовательской деятельностью в области разработки 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литических процессов нефтепереработки и нефтехимии от стадий НИР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 до внедрения на производстве (организация производства новой продукции - катализаторов, авторское сопровождение наработки разработанных катализаторов и опытно-промышленных пробегов на НПЗ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62753" w:rsidRPr="00246C4E" w:rsidRDefault="00162753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4CD" w:rsidRDefault="003514CD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разработок с участием сотрудников компании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514CD" w:rsidRPr="00840361" w:rsidRDefault="003514CD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Разработан отечественный катализатор олигомеризации нового поколения от стадии НИР до внедрения на производстве. В 2018 году катализатор олигомеризации бутан-бутиленовой фракции КОБ-1 был внедрен на АО "</w:t>
            </w:r>
            <w:proofErr w:type="spellStart"/>
            <w:r w:rsidRPr="0084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84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МНПЗ</w:t>
            </w:r>
          </w:p>
          <w:p w:rsidR="003514CD" w:rsidRPr="00840361" w:rsidRDefault="003514CD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Разработан процесс получения бутадиена из этанола, получены отечественные и международные патенты на разработку,</w:t>
            </w:r>
            <w:r w:rsidR="0084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проведены пилотные испытания,</w:t>
            </w:r>
            <w:r w:rsidRPr="0084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настоящее </w:t>
            </w:r>
            <w:r w:rsidRPr="0084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время создается демонстрационная</w:t>
            </w:r>
            <w:r w:rsidR="0084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опытно-промышленная</w:t>
            </w:r>
            <w:r w:rsidRPr="0084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</w:t>
            </w:r>
          </w:p>
          <w:p w:rsidR="003D3F2F" w:rsidRPr="003D3F2F" w:rsidRDefault="003514CD" w:rsidP="003D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В рамках сотрудничества с компанией СИБУР разработан </w:t>
            </w:r>
            <w:r w:rsidR="003D3F2F" w:rsidRPr="003D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катализатор</w:t>
            </w:r>
            <w:r w:rsidRPr="003D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получения изопрена из </w:t>
            </w:r>
            <w:r w:rsidR="003D3F2F" w:rsidRPr="003D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изобутилена и формальдегида</w:t>
            </w:r>
          </w:p>
          <w:p w:rsidR="00D20866" w:rsidRPr="00D20866" w:rsidRDefault="003514CD" w:rsidP="003D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Разработан новый подход к синтезу цеолитов, получены отечественные и международные патенты на разработку, в настоящее время проводится масштабирование технологии для производства опытно-промышленных партий цеолитов.</w:t>
            </w:r>
          </w:p>
        </w:tc>
      </w:tr>
      <w:tr w:rsidR="00D20866" w:rsidRPr="00D20866" w:rsidTr="00AB0762">
        <w:trPr>
          <w:trHeight w:val="1248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A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референций в целевой/смежных областях исследования. Опыт работы с целевыми для проекта или аналогичными химическими и технологическими процессами и оборудованием, методами аналитического контроля.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составлении чек-листа расшифровать крупными блоками релевантные для проекта группы оборудования 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2F" w:rsidRPr="00246C4E" w:rsidRDefault="003D3F2F" w:rsidP="00F4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 успешно завершены более 20 контрактов с ведущими отечественными и зарубежн</w:t>
            </w:r>
            <w:r w:rsidR="007D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ыми компаниями по исследованию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внедрению широкого круга гетерогенных катализаторов.</w:t>
            </w:r>
          </w:p>
          <w:p w:rsidR="00162753" w:rsidRPr="00246C4E" w:rsidRDefault="00162753" w:rsidP="00F4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F2F" w:rsidRDefault="003D3F2F" w:rsidP="00F4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опыт в </w:t>
            </w:r>
            <w:r w:rsidR="007D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разработке катализаторов для процессов: </w:t>
            </w:r>
          </w:p>
          <w:p w:rsidR="007D6415" w:rsidRPr="007D6415" w:rsidRDefault="007D6415" w:rsidP="00162753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Алкилирование</w:t>
            </w:r>
            <w:proofErr w:type="spellEnd"/>
            <w:r w:rsidRPr="007D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ароматических углеводородов</w:t>
            </w:r>
          </w:p>
          <w:p w:rsidR="007D6415" w:rsidRPr="007D6415" w:rsidRDefault="007D6415" w:rsidP="00162753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Диспропорционирование</w:t>
            </w:r>
            <w:proofErr w:type="spellEnd"/>
            <w:r w:rsidRPr="007D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D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трансалкилирование</w:t>
            </w:r>
            <w:proofErr w:type="spellEnd"/>
            <w:r w:rsidRPr="007D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алкилароматических углеводородов</w:t>
            </w:r>
          </w:p>
          <w:p w:rsidR="007D6415" w:rsidRPr="007D6415" w:rsidRDefault="007D6415" w:rsidP="00162753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Ароматизация углеводородов</w:t>
            </w:r>
          </w:p>
          <w:p w:rsidR="007D6415" w:rsidRPr="007D6415" w:rsidRDefault="007D6415" w:rsidP="00162753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Крекинг и гидрокрекинг</w:t>
            </w:r>
          </w:p>
          <w:p w:rsidR="007D6415" w:rsidRPr="007D6415" w:rsidRDefault="007D6415" w:rsidP="00162753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Изомеризация и </w:t>
            </w:r>
            <w:proofErr w:type="spellStart"/>
            <w:r w:rsidRPr="007D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гидроизомеризация</w:t>
            </w:r>
            <w:proofErr w:type="spellEnd"/>
            <w:r w:rsidRPr="007D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6C4E" w:rsidRDefault="007D6415" w:rsidP="00162753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Дегидрирование и </w:t>
            </w:r>
            <w:proofErr w:type="spellStart"/>
            <w:r w:rsidR="0024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дегидроалкилирование</w:t>
            </w:r>
            <w:proofErr w:type="spellEnd"/>
          </w:p>
          <w:p w:rsidR="007D6415" w:rsidRPr="007D6415" w:rsidRDefault="00246C4E" w:rsidP="00162753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D6415" w:rsidRPr="007D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онденсация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дегидратация</w:t>
            </w:r>
          </w:p>
          <w:p w:rsidR="007D6415" w:rsidRPr="007D6415" w:rsidRDefault="007D6415" w:rsidP="00162753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Олигомеризация олефинов</w:t>
            </w:r>
          </w:p>
          <w:p w:rsidR="007D6415" w:rsidRPr="007D6415" w:rsidRDefault="007D6415" w:rsidP="00162753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Парциальное окисление</w:t>
            </w:r>
          </w:p>
          <w:p w:rsidR="003D3F2F" w:rsidRPr="00F44F49" w:rsidRDefault="003D3F2F" w:rsidP="00F4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</w:p>
          <w:p w:rsidR="003514CD" w:rsidRPr="000961CC" w:rsidRDefault="000961CC" w:rsidP="000961C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синтеза катализаторов</w:t>
            </w:r>
          </w:p>
          <w:p w:rsidR="003514CD" w:rsidRPr="000961CC" w:rsidRDefault="00F44F49" w:rsidP="000961C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0961CC"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талитические установки для тестирования каталитических систем</w:t>
            </w:r>
          </w:p>
          <w:p w:rsidR="003514CD" w:rsidRPr="000961CC" w:rsidRDefault="00F44F49" w:rsidP="003514C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аналитического контроля</w:t>
            </w:r>
            <w:r w:rsidR="003514CD"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A3787" w:rsidRPr="000961CC" w:rsidRDefault="005904AB" w:rsidP="000961CC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РФА</w:t>
            </w:r>
          </w:p>
          <w:p w:rsidR="00AA3787" w:rsidRPr="000961CC" w:rsidRDefault="005904AB" w:rsidP="000961CC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ЯМР</w:t>
            </w:r>
          </w:p>
          <w:p w:rsidR="00AA3787" w:rsidRPr="000961CC" w:rsidRDefault="005904AB" w:rsidP="000961CC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ИКС</w:t>
            </w:r>
          </w:p>
          <w:p w:rsidR="00AA3787" w:rsidRPr="000961CC" w:rsidRDefault="005904AB" w:rsidP="000961CC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УФ-спектроскопия</w:t>
            </w:r>
            <w:proofErr w:type="gramEnd"/>
            <w:r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3787" w:rsidRPr="000961CC" w:rsidRDefault="000961CC" w:rsidP="000961CC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ТПД-</w:t>
            </w:r>
            <w:r w:rsidR="005904AB"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NH</w:t>
            </w:r>
            <w:r w:rsidR="005904AB"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AA3787" w:rsidRPr="000961CC" w:rsidRDefault="000961CC" w:rsidP="000961CC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ТПВ-</w:t>
            </w:r>
            <w:r w:rsidR="005904AB"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r w:rsidR="005904AB"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AA3787" w:rsidRPr="000961CC" w:rsidRDefault="005904AB" w:rsidP="000961CC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Низкотемпературная адсорбция азота</w:t>
            </w:r>
          </w:p>
          <w:p w:rsidR="00AA3787" w:rsidRPr="000961CC" w:rsidRDefault="005904AB" w:rsidP="000961CC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Термогравиметрический метод исследования</w:t>
            </w:r>
          </w:p>
          <w:p w:rsidR="00AA3787" w:rsidRPr="000961CC" w:rsidRDefault="005904AB" w:rsidP="000961CC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Спектроскопия комбинационного рассеяния</w:t>
            </w:r>
          </w:p>
          <w:p w:rsidR="000961CC" w:rsidRDefault="005904AB" w:rsidP="000961CC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хемосорбционных</w:t>
            </w:r>
            <w:proofErr w:type="spellEnd"/>
            <w:r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методов анализа</w:t>
            </w:r>
          </w:p>
          <w:p w:rsidR="003514CD" w:rsidRPr="000961CC" w:rsidRDefault="005904AB" w:rsidP="000961CC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спектральных методов анализа для </w:t>
            </w:r>
            <w:proofErr w:type="spellStart"/>
            <w:r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situ</w:t>
            </w:r>
            <w:proofErr w:type="spellEnd"/>
            <w:r w:rsidRPr="0009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исследований</w:t>
            </w:r>
          </w:p>
        </w:tc>
      </w:tr>
      <w:tr w:rsidR="00D20866" w:rsidRPr="00D20866" w:rsidTr="00CF47E0">
        <w:trPr>
          <w:trHeight w:val="312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компании являются ключевыми партнерами и Заказчиками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примеры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6" w:rsidRPr="00D20866" w:rsidRDefault="007D6415" w:rsidP="00C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Московский НПЗ", ООО "</w:t>
            </w:r>
            <w:proofErr w:type="spellStart"/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КС",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ПАО «Роснефть», </w:t>
            </w:r>
            <w:r w:rsidR="00D20866"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"ХОНЕВЕЛЛ", ООО "РН-Комсомольский НПЗ",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ИОХ РАН</w:t>
            </w:r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ИНХС РАН</w:t>
            </w:r>
          </w:p>
        </w:tc>
      </w:tr>
      <w:tr w:rsidR="00D20866" w:rsidRPr="00D20866" w:rsidTr="007D6415">
        <w:trPr>
          <w:trHeight w:val="312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и квалификация ключевого персонала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CD" w:rsidRPr="003514CD" w:rsidRDefault="003514CD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Ирина Игоревна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д.х.н., р</w:t>
            </w: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научного отдела</w:t>
            </w:r>
          </w:p>
          <w:p w:rsidR="003514CD" w:rsidRDefault="003514CD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к.х.н., директор по развитию</w:t>
            </w:r>
          </w:p>
          <w:p w:rsidR="003514CD" w:rsidRDefault="003514CD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Андрей Валентинович – к.х.н., производственный директор</w:t>
            </w:r>
          </w:p>
          <w:p w:rsidR="003514CD" w:rsidRPr="003514CD" w:rsidRDefault="003514CD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Колягин Юрий Геннадьеви</w:t>
            </w:r>
            <w:proofErr w:type="gramStart"/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к.х.н., н</w:t>
            </w: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аучный сотрудник</w:t>
            </w:r>
          </w:p>
          <w:p w:rsidR="003514CD" w:rsidRPr="003514CD" w:rsidRDefault="003514CD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</w:t>
            </w:r>
            <w:proofErr w:type="spellEnd"/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Александрович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к.х.н., с</w:t>
            </w: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научный сотрудник</w:t>
            </w:r>
          </w:p>
          <w:p w:rsidR="003514CD" w:rsidRPr="003514CD" w:rsidRDefault="003514CD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 Дмитрий Леонидович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аучный сотрудник</w:t>
            </w:r>
          </w:p>
          <w:p w:rsidR="00D20866" w:rsidRPr="00D20866" w:rsidRDefault="003514CD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Людмила Игоревна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к.х.н., н</w:t>
            </w: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аучный сотрудник</w:t>
            </w:r>
          </w:p>
        </w:tc>
      </w:tr>
      <w:tr w:rsidR="00D20866" w:rsidRPr="00D20866" w:rsidTr="00C6750B">
        <w:trPr>
          <w:trHeight w:val="312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научного персонала, специализация и квалификация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6" w:rsidRPr="007D6415" w:rsidRDefault="003514CD" w:rsidP="00C6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 сотрудников научный персонал</w:t>
            </w:r>
          </w:p>
        </w:tc>
      </w:tr>
      <w:tr w:rsidR="003514CD" w:rsidRPr="00FC4F4D" w:rsidTr="00AB0762">
        <w:trPr>
          <w:trHeight w:val="624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866" w:rsidRPr="00D20866" w:rsidRDefault="00D20866" w:rsidP="00A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Публикационная активность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примеры публикаций последних 2-3 лет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CD" w:rsidRPr="003514CD" w:rsidRDefault="00246C4E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A. G. Popov, A. V. </w:t>
            </w:r>
            <w:proofErr w:type="spellStart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Efimov</w:t>
            </w:r>
            <w:proofErr w:type="spellEnd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and Irina </w:t>
            </w:r>
            <w:proofErr w:type="spellStart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Igorevna</w:t>
            </w:r>
            <w:proofErr w:type="spellEnd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Ivanova</w:t>
            </w:r>
            <w:proofErr w:type="spellEnd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Influence of localization of acid sites on deactivation of </w:t>
            </w:r>
            <w:proofErr w:type="spellStart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zeolite</w:t>
            </w:r>
            <w:proofErr w:type="spellEnd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B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MFI</w:t>
            </w:r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oligomerization</w:t>
            </w:r>
            <w:proofErr w:type="spellEnd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process of light alkenes. Petroleum Chemistry, 59(7):691–694, 2019. </w:t>
            </w:r>
          </w:p>
          <w:p w:rsidR="003514CD" w:rsidRPr="00673D13" w:rsidRDefault="00246C4E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A. G. Popov, A. V. </w:t>
            </w:r>
            <w:proofErr w:type="spellStart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Efimov</w:t>
            </w:r>
            <w:proofErr w:type="spellEnd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Kleimenov</w:t>
            </w:r>
            <w:proofErr w:type="spellEnd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S. E. </w:t>
            </w:r>
            <w:proofErr w:type="spellStart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Kuznetsov</w:t>
            </w:r>
            <w:proofErr w:type="spellEnd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and Irina </w:t>
            </w:r>
            <w:proofErr w:type="spellStart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Igorevna</w:t>
            </w:r>
            <w:proofErr w:type="spellEnd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Ivanova</w:t>
            </w:r>
            <w:proofErr w:type="spellEnd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Determination of the service life of zeolite oligomerization catalysts by accelerated deactivation testing. Petroleum Chemistry, 59(8):903–909, 2019. </w:t>
            </w:r>
          </w:p>
          <w:p w:rsidR="003514CD" w:rsidRPr="00673D13" w:rsidRDefault="00246C4E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O. A. </w:t>
            </w:r>
            <w:proofErr w:type="spellStart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Ponomareva</w:t>
            </w:r>
            <w:proofErr w:type="spellEnd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A. </w:t>
            </w:r>
            <w:proofErr w:type="spellStart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Maltseva</w:t>
            </w:r>
            <w:proofErr w:type="spellEnd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G. Popov, I. V. </w:t>
            </w:r>
            <w:proofErr w:type="spellStart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Dobryakova</w:t>
            </w:r>
            <w:proofErr w:type="spellEnd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I. A. Kasyanov, and I. I. </w:t>
            </w:r>
            <w:proofErr w:type="spellStart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Ivanova</w:t>
            </w:r>
            <w:proofErr w:type="spellEnd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Acetone conversion to isobutylene over magnesium</w:t>
            </w:r>
            <w:r w:rsidR="00FC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-containing micro-</w:t>
            </w:r>
            <w:proofErr w:type="spellStart"/>
            <w:r w:rsidR="00FC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mesoporous</w:t>
            </w:r>
            <w:proofErr w:type="spellEnd"/>
            <w:r w:rsidR="00FC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MOR</w:t>
            </w:r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zeolites</w:t>
            </w:r>
            <w:proofErr w:type="spellEnd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Petroleum Chemistry, 60(4):516–524, 2020. </w:t>
            </w:r>
          </w:p>
          <w:p w:rsidR="003514CD" w:rsidRPr="003514CD" w:rsidRDefault="00246C4E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A. V. </w:t>
            </w:r>
            <w:proofErr w:type="spellStart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Shkuropatov</w:t>
            </w:r>
            <w:proofErr w:type="spellEnd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G. Popov, and I. I. </w:t>
            </w:r>
            <w:proofErr w:type="spellStart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Ivanova</w:t>
            </w:r>
            <w:proofErr w:type="spellEnd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Alkylation of benzene with propylene on hierarchical </w:t>
            </w:r>
            <w:proofErr w:type="spellStart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mww</w:t>
            </w:r>
            <w:proofErr w:type="spellEnd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zeolites</w:t>
            </w:r>
            <w:proofErr w:type="spellEnd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prepared by recrystallization. Petroleum Chemistry, 61(8):908–915, 2021.</w:t>
            </w:r>
          </w:p>
          <w:p w:rsidR="003514CD" w:rsidRPr="003514CD" w:rsidRDefault="00246C4E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5</w:t>
            </w:r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A. </w:t>
            </w:r>
            <w:proofErr w:type="spellStart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Boretskaya</w:t>
            </w:r>
            <w:proofErr w:type="spellEnd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I. </w:t>
            </w:r>
            <w:proofErr w:type="spellStart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Il'yasov</w:t>
            </w:r>
            <w:proofErr w:type="spellEnd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Popov, and A. </w:t>
            </w:r>
            <w:proofErr w:type="spellStart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Lamberov</w:t>
            </w:r>
            <w:proofErr w:type="spellEnd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Modification of a phase-inhomogeneous alumina support of a palladium catalyst. </w:t>
            </w:r>
            <w:proofErr w:type="gramStart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part</w:t>
            </w:r>
            <w:proofErr w:type="gramEnd"/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ii: the effect of palladium dispersion on the formation of hydride forms, electronic state, and catalytic performance in the reaction of partial hydrogenation of unsaturat</w:t>
            </w:r>
            <w:r w:rsidR="00A2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 hydrocarbons</w:t>
            </w:r>
            <w:r w:rsidR="003514CD"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Materials Today Chemistry, 19:100387, 2021. </w:t>
            </w:r>
          </w:p>
          <w:p w:rsidR="00D20866" w:rsidRPr="007856C0" w:rsidRDefault="00246C4E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T. O. Bok, E. P. </w:t>
            </w:r>
            <w:proofErr w:type="spellStart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Andriako</w:t>
            </w:r>
            <w:proofErr w:type="spellEnd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and Irina </w:t>
            </w:r>
            <w:proofErr w:type="spellStart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Igorevna</w:t>
            </w:r>
            <w:proofErr w:type="spellEnd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Ivanova</w:t>
            </w:r>
            <w:proofErr w:type="spellEnd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Effect of binder content on the propertie</w:t>
            </w:r>
            <w:r w:rsidR="0021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 of </w:t>
            </w:r>
            <w:proofErr w:type="spellStart"/>
            <w:r w:rsidR="0021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nanocrystalline</w:t>
            </w:r>
            <w:proofErr w:type="spellEnd"/>
            <w:r w:rsidR="0021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1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zeolite</w:t>
            </w:r>
            <w:proofErr w:type="spellEnd"/>
            <w:r w:rsidR="0021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BEA</w:t>
            </w:r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-based catalysts for benzene alkylation with propylene. </w:t>
            </w:r>
            <w:r w:rsidR="007856C0" w:rsidRPr="00785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Petroleum Chemistry</w:t>
            </w:r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61(8):901–907, 2021</w:t>
            </w:r>
          </w:p>
          <w:p w:rsidR="007856C0" w:rsidRPr="007856C0" w:rsidRDefault="00246C4E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Оlga</w:t>
            </w:r>
            <w:proofErr w:type="spellEnd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А. </w:t>
            </w:r>
            <w:proofErr w:type="spellStart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Ponomareva</w:t>
            </w:r>
            <w:proofErr w:type="spellEnd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О. D. </w:t>
            </w:r>
            <w:proofErr w:type="spellStart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Matveeva</w:t>
            </w:r>
            <w:proofErr w:type="spellEnd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 I. </w:t>
            </w:r>
            <w:proofErr w:type="spellStart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Nikiforov</w:t>
            </w:r>
            <w:proofErr w:type="spellEnd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I. V. </w:t>
            </w:r>
            <w:proofErr w:type="spellStart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Dobryakova</w:t>
            </w:r>
            <w:proofErr w:type="spellEnd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I. A. Kasyanov, A. V. </w:t>
            </w:r>
            <w:proofErr w:type="spellStart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Shkuropatov</w:t>
            </w:r>
            <w:proofErr w:type="spellEnd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and I. I. </w:t>
            </w:r>
            <w:proofErr w:type="spellStart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Ivanova</w:t>
            </w:r>
            <w:proofErr w:type="spellEnd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Synthesis of butadiene from formaldehyde and propylene on cesium salts of </w:t>
            </w:r>
            <w:proofErr w:type="spellStart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silicotungstic</w:t>
            </w:r>
            <w:proofErr w:type="spellEnd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heteropoly</w:t>
            </w:r>
            <w:proofErr w:type="spellEnd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acid. </w:t>
            </w:r>
            <w:r w:rsidR="007856C0" w:rsidRPr="00785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Petroleum Chemistry</w:t>
            </w:r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61(8):916–924, 2021.</w:t>
            </w:r>
          </w:p>
          <w:p w:rsidR="007856C0" w:rsidRPr="007856C0" w:rsidRDefault="00246C4E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Pavel A. </w:t>
            </w:r>
            <w:proofErr w:type="spellStart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Kots</w:t>
            </w:r>
            <w:proofErr w:type="spellEnd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Anna V. </w:t>
            </w:r>
            <w:proofErr w:type="spellStart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</w:t>
            </w:r>
            <w:r w:rsidR="00FC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abilska</w:t>
            </w:r>
            <w:proofErr w:type="spellEnd"/>
            <w:r w:rsidR="00FC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and Irina I. </w:t>
            </w:r>
            <w:proofErr w:type="spellStart"/>
            <w:r w:rsidR="00FC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Ivanova</w:t>
            </w:r>
            <w:proofErr w:type="spellEnd"/>
            <w:r w:rsidR="00FC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S</w:t>
            </w:r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elective sel</w:t>
            </w:r>
            <w:r w:rsidR="00FC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f-condensation of </w:t>
            </w:r>
            <w:proofErr w:type="spellStart"/>
            <w:r w:rsidR="00FC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butanal</w:t>
            </w:r>
            <w:proofErr w:type="spellEnd"/>
            <w:r w:rsidR="00FC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over </w:t>
            </w:r>
            <w:proofErr w:type="spellStart"/>
            <w:r w:rsidR="00FC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</w:t>
            </w:r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r-bea</w:t>
            </w:r>
            <w:proofErr w:type="spellEnd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zeolites</w:t>
            </w:r>
            <w:proofErr w:type="spellEnd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7856C0" w:rsidRPr="00785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ChemCatChem</w:t>
            </w:r>
            <w:proofErr w:type="spellEnd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12(1):248–258, 2020.</w:t>
            </w:r>
          </w:p>
          <w:p w:rsidR="007856C0" w:rsidRPr="007856C0" w:rsidRDefault="00246C4E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Stanislav V. </w:t>
            </w:r>
            <w:proofErr w:type="spellStart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Konnov</w:t>
            </w:r>
            <w:proofErr w:type="spellEnd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Vladimir S. Pavlov, and Irina I. </w:t>
            </w:r>
            <w:proofErr w:type="spellStart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Ivanova</w:t>
            </w:r>
            <w:proofErr w:type="spellEnd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Effect of coating with silica on acidic </w:t>
            </w:r>
            <w:r w:rsidR="00FC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 catalytic properties of SAPO-18 in MTO</w:t>
            </w:r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conversion. </w:t>
            </w:r>
            <w:r w:rsidR="007856C0" w:rsidRPr="00785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Microporous and Mesoporous Materials</w:t>
            </w:r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300:110158, 2020.</w:t>
            </w:r>
          </w:p>
          <w:p w:rsidR="007856C0" w:rsidRPr="007856C0" w:rsidRDefault="00246C4E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V. S. Pavlov, D. V. </w:t>
            </w:r>
            <w:proofErr w:type="spellStart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Bruter</w:t>
            </w:r>
            <w:proofErr w:type="spellEnd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S. V. </w:t>
            </w:r>
            <w:proofErr w:type="spellStart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Konnov</w:t>
            </w:r>
            <w:proofErr w:type="spellEnd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and Irina I. </w:t>
            </w:r>
            <w:proofErr w:type="spellStart"/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Iva</w:t>
            </w:r>
            <w:r w:rsidR="00FC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nova</w:t>
            </w:r>
            <w:proofErr w:type="spellEnd"/>
            <w:r w:rsidR="00FC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Methanol conversion on MFI</w:t>
            </w:r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zeolites obtained in fluoride medium: Effect of silicon source. </w:t>
            </w:r>
            <w:r w:rsidR="007856C0" w:rsidRPr="00785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Petroleum Chemistry</w:t>
            </w:r>
            <w:r w:rsidR="007856C0"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60(8):929–936, 2020.</w:t>
            </w:r>
          </w:p>
          <w:p w:rsidR="007856C0" w:rsidRPr="007856C0" w:rsidRDefault="007856C0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246C4E" w:rsidRPr="0024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Pavel A. </w:t>
            </w:r>
            <w:proofErr w:type="spellStart"/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Kots</w:t>
            </w:r>
            <w:proofErr w:type="spellEnd"/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Mikalai</w:t>
            </w:r>
            <w:proofErr w:type="spellEnd"/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A. </w:t>
            </w:r>
            <w:proofErr w:type="spellStart"/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Artsiusheuski</w:t>
            </w:r>
            <w:proofErr w:type="spellEnd"/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Yuriy</w:t>
            </w:r>
            <w:proofErr w:type="spellEnd"/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V. </w:t>
            </w:r>
            <w:proofErr w:type="spellStart"/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Grigoriev</w:t>
            </w:r>
            <w:proofErr w:type="spellEnd"/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and Irina I. </w:t>
            </w:r>
            <w:proofErr w:type="spellStart"/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Ivanova</w:t>
            </w:r>
            <w:proofErr w:type="spellEnd"/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One-step but</w:t>
            </w:r>
            <w:r w:rsidR="00FC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adiene synthesis via gas-phase </w:t>
            </w:r>
            <w:proofErr w:type="spellStart"/>
            <w:r w:rsidR="00FC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rins</w:t>
            </w:r>
            <w:proofErr w:type="spellEnd"/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condensation of propylene with formaldehyde over </w:t>
            </w:r>
            <w:proofErr w:type="spellStart"/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heteropolyacid</w:t>
            </w:r>
            <w:proofErr w:type="spellEnd"/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catalysts. </w:t>
            </w:r>
            <w:r w:rsidRPr="00785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ACS catalysis</w:t>
            </w:r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10:15149–15161, 2020.</w:t>
            </w:r>
          </w:p>
          <w:p w:rsidR="003514CD" w:rsidRPr="00FC4F4D" w:rsidRDefault="007856C0" w:rsidP="00F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246C4E" w:rsidRPr="0024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G. G. </w:t>
            </w:r>
            <w:proofErr w:type="spellStart"/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Ivanushkin</w:t>
            </w:r>
            <w:proofErr w:type="spellEnd"/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 V. Smirnov, P. A. </w:t>
            </w:r>
            <w:proofErr w:type="spellStart"/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Kots</w:t>
            </w:r>
            <w:proofErr w:type="spellEnd"/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and I. I. </w:t>
            </w:r>
            <w:proofErr w:type="spellStart"/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Ivanova</w:t>
            </w:r>
            <w:proofErr w:type="spellEnd"/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Modification of acidic</w:t>
            </w:r>
            <w:r w:rsidR="00FC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properties of the support for Pt–</w:t>
            </w:r>
            <w:proofErr w:type="spellStart"/>
            <w:r w:rsidR="00FC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proofErr w:type="spellEnd"/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="00FC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BEA</w:t>
            </w:r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propane dehydrogenation catalysts. </w:t>
            </w:r>
            <w:r w:rsidRPr="00785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Petroleum Chemistry</w:t>
            </w:r>
            <w:r w:rsidRPr="0078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59(7):733–738, 2019.</w:t>
            </w:r>
          </w:p>
        </w:tc>
      </w:tr>
      <w:tr w:rsidR="00D20866" w:rsidRPr="00D20866" w:rsidTr="007D6415">
        <w:trPr>
          <w:trHeight w:val="624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Патентование разработок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Привести примеры запатентованных решений </w:t>
            </w:r>
            <w:proofErr w:type="gramStart"/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</w:t>
            </w:r>
            <w:r w:rsid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2-3 года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CD" w:rsidRPr="008B4E2F" w:rsidRDefault="003514CD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Патент № 2688158 от 27.02.2019, "Способ получения 1,3-бутадиена"</w:t>
            </w:r>
          </w:p>
          <w:p w:rsidR="003514CD" w:rsidRPr="008B4E2F" w:rsidRDefault="003514CD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Патент № 2656602 от 06.06.2018, "Одностадийный способ получения бутадиена"</w:t>
            </w:r>
          </w:p>
          <w:p w:rsidR="003514CD" w:rsidRPr="008B4E2F" w:rsidRDefault="003514CD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Патент № 2644781 от 14.02.2018, "Способ получения бензиновых фракций углеводородов из олефинов"</w:t>
            </w:r>
          </w:p>
          <w:p w:rsidR="003514CD" w:rsidRPr="008B4E2F" w:rsidRDefault="003514CD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Патент № 2676691, от 10.01.2019, "Способ тестирования устойчивости к дезактивации цеолитных катализаторов высокотемпературной олигомеризации олефинов в бензиновую фракцию"</w:t>
            </w:r>
          </w:p>
          <w:p w:rsidR="00D20866" w:rsidRPr="008B4E2F" w:rsidRDefault="003514CD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Патент № 2712549 от 29.01.2020, "Способ получения цеолита типа MEL"</w:t>
            </w:r>
          </w:p>
          <w:p w:rsidR="003514CD" w:rsidRPr="008B4E2F" w:rsidRDefault="003514CD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Патент № 2694829 от 17.07.2019, "Способ каталитического окисления </w:t>
            </w:r>
            <w:proofErr w:type="spellStart"/>
            <w:r w:rsidRPr="008B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н-гексана</w:t>
            </w:r>
            <w:proofErr w:type="spellEnd"/>
            <w:r w:rsidRPr="008B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3514CD" w:rsidRPr="008B4E2F" w:rsidRDefault="003514CD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Патент № 2712543 от 29.01.2020, "Способ получения цеолита типа MWW"</w:t>
            </w:r>
          </w:p>
          <w:p w:rsidR="003514CD" w:rsidRPr="00D20866" w:rsidRDefault="003514CD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Патент № 2744166 от 03.03.2021, "Цеолит типа MOR и способ его получения"</w:t>
            </w:r>
          </w:p>
        </w:tc>
      </w:tr>
      <w:tr w:rsidR="00D20866" w:rsidRPr="00D20866" w:rsidTr="007D6415">
        <w:trPr>
          <w:trHeight w:val="324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 партнеров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 других компаний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7D6415">
        <w:trPr>
          <w:trHeight w:val="324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Инфраструктура и технические компетенции</w:t>
            </w:r>
          </w:p>
        </w:tc>
      </w:tr>
      <w:tr w:rsidR="00D20866" w:rsidRPr="00D20866" w:rsidTr="007D6415">
        <w:trPr>
          <w:trHeight w:val="312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выполнения работ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CD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14CD" w:rsidRPr="003514CD" w:rsidRDefault="007D6415" w:rsidP="0035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парк МГУ</w:t>
            </w:r>
          </w:p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866" w:rsidRPr="00D20866" w:rsidTr="008B4E2F">
        <w:trPr>
          <w:trHeight w:val="93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материалы: наличие на площадке, возможности закупки, возможности приема, хранения и подачи в процесс в соответствии с особенностями сырья и требованиями безопасности.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6" w:rsidRPr="00D20866" w:rsidRDefault="009F69F6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закупки и хранения реактивов, газов для проведения каталитических процессов и эксплуатации оборудования (</w:t>
            </w:r>
            <w:r w:rsidR="007D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каталитических установок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хроматографов, аналитического оборудования).</w:t>
            </w:r>
          </w:p>
        </w:tc>
      </w:tr>
      <w:tr w:rsidR="00D20866" w:rsidRPr="00D20866" w:rsidTr="008B4E2F">
        <w:trPr>
          <w:trHeight w:val="312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наличие, исправность, доступность для проекта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6" w:rsidRPr="00D20866" w:rsidRDefault="009F69F6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приготовления катализаторов (автоклавы, мешалки, печи, сушильные шкафы, центрифуги). В распоряжении имеются лабораторные каталитические установки, на которых возможно проведение как тестовых реакции, так и испытаний на ресурс работы.</w:t>
            </w:r>
          </w:p>
        </w:tc>
      </w:tr>
      <w:tr w:rsidR="00D20866" w:rsidRPr="00D20866" w:rsidTr="008B4E2F">
        <w:trPr>
          <w:trHeight w:val="312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Аналитическое обеспечение проекта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6" w:rsidRPr="00D20866" w:rsidRDefault="009F69F6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Доступен широкий спектр оборудования для контроля физико-химических свойств катализаторов, а также определения качества сырья и продуктов реакции (хроматографы,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хромато-масс-спектрометр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титратор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Фишеру).</w:t>
            </w:r>
          </w:p>
        </w:tc>
      </w:tr>
      <w:tr w:rsidR="00D20866" w:rsidRPr="00D20866" w:rsidTr="008B4E2F">
        <w:trPr>
          <w:trHeight w:val="312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Энергоресурсы (электроэнергия, </w:t>
            </w: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пар, вода и </w:t>
            </w:r>
            <w:proofErr w:type="spellStart"/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6" w:rsidRPr="00D20866" w:rsidRDefault="00246C4E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20866" w:rsidRPr="00D20866" w:rsidTr="008B4E2F">
        <w:trPr>
          <w:trHeight w:val="312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 данных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6" w:rsidRPr="00D20866" w:rsidRDefault="00246C4E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20866" w:rsidRPr="00D20866" w:rsidTr="008B4E2F">
        <w:trPr>
          <w:trHeight w:val="312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и хранение наработанных партий продукта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6" w:rsidRPr="00D20866" w:rsidRDefault="00246C4E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20866" w:rsidRPr="00D20866" w:rsidTr="008B4E2F">
        <w:trPr>
          <w:trHeight w:val="312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отходов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6" w:rsidRPr="00D20866" w:rsidRDefault="00246C4E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20866" w:rsidRPr="00D20866" w:rsidTr="008B4E2F">
        <w:trPr>
          <w:trHeight w:val="624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Нестандартное оборудование, ремонты - возможно ли изготовление/ремонт своими силами, есть ли постоянные партнеры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6" w:rsidRPr="00D20866" w:rsidRDefault="009F69F6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из направлений деятельности компании – создание научного оборудования (аналитического и каталитических установок). Поэтому есть большой опыт изготовления/ремонта нестандартного оборудования своими силами.</w:t>
            </w:r>
          </w:p>
        </w:tc>
      </w:tr>
      <w:tr w:rsidR="00D20866" w:rsidRPr="00D20866" w:rsidTr="008B4E2F">
        <w:trPr>
          <w:trHeight w:val="624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и возможности расширения парка оборудования (наличие площадей, резервы инфраструктуры)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6" w:rsidRPr="00D20866" w:rsidRDefault="00D20866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планы по расширению производственных площадей  </w:t>
            </w:r>
          </w:p>
        </w:tc>
      </w:tr>
      <w:tr w:rsidR="00D20866" w:rsidRPr="00D20866" w:rsidTr="008B4E2F">
        <w:trPr>
          <w:trHeight w:val="624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проведения расчетов и моделирования: типы выполняемых расчетов, используемое ПО. Опыт выполнения данного типа работ.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6" w:rsidRPr="00D20866" w:rsidRDefault="00246C4E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20866" w:rsidRPr="00D20866" w:rsidTr="008B4E2F">
        <w:trPr>
          <w:trHeight w:val="948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проектирования: разработка ИДП, ПД, разработка конструкций оборудования (РКД)  своими силами, есть ли постоянные партнеры. Опыт выполнения данного типа работ.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6" w:rsidRPr="00D20866" w:rsidRDefault="00D20866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7D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 занимается разработкой и производством оборудования для синтеза и характеристики катализаторов, имеет большой опыт в создании лабораторных каталитических установок различного типа</w:t>
            </w:r>
            <w:r w:rsidR="00AC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(более 15 установок за последние 10 лет)</w:t>
            </w:r>
            <w:r w:rsidR="007D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D20866" w:rsidRPr="00D20866" w:rsidTr="008B4E2F">
        <w:trPr>
          <w:trHeight w:val="324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866" w:rsidRPr="00D20866" w:rsidRDefault="00D20866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Условия сотрудничества и </w:t>
            </w:r>
            <w:proofErr w:type="spellStart"/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клиентоориентированность</w:t>
            </w:r>
            <w:proofErr w:type="spellEnd"/>
          </w:p>
        </w:tc>
      </w:tr>
      <w:tr w:rsidR="00D20866" w:rsidRPr="00901A12" w:rsidTr="008B4E2F">
        <w:trPr>
          <w:trHeight w:val="312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с Группой компаний СИБУР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6" w:rsidRDefault="00901A12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901A12" w:rsidRDefault="00901A12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1A12" w:rsidRPr="00901A12" w:rsidRDefault="00901A12" w:rsidP="0090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Синтез изопрена из </w:t>
            </w:r>
            <w:proofErr w:type="spellStart"/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изобутиленсодержащего</w:t>
            </w:r>
            <w:proofErr w:type="spellEnd"/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сырья и формальдегида.</w:t>
            </w:r>
          </w:p>
          <w:p w:rsidR="00901A12" w:rsidRPr="00901A12" w:rsidRDefault="00901A12" w:rsidP="00901A12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- 2009 г., Разработка одностадийного процесса производства изопрена из </w:t>
            </w:r>
            <w:proofErr w:type="spellStart"/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изобутиленсодержащего</w:t>
            </w:r>
            <w:proofErr w:type="spellEnd"/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сырья и формальдегида.</w:t>
            </w:r>
          </w:p>
          <w:p w:rsidR="00901A12" w:rsidRPr="00901A12" w:rsidRDefault="00901A12" w:rsidP="00901A12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- 2010, Кинетические характеристики основных реакций, протекающих в одностадийном процессе получения изопрена из </w:t>
            </w:r>
            <w:proofErr w:type="spellStart"/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изобутиленсодержащего</w:t>
            </w:r>
            <w:proofErr w:type="spellEnd"/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сырья и формальдегида.</w:t>
            </w:r>
          </w:p>
          <w:p w:rsidR="00901A12" w:rsidRPr="00901A12" w:rsidRDefault="00901A12" w:rsidP="00901A12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- 2011 г., Разработка промышленного катализатора и технологии его синтеза для одностадийного процесса получения изопрена из </w:t>
            </w:r>
            <w:proofErr w:type="spellStart"/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изобутиленсодержащего</w:t>
            </w:r>
            <w:proofErr w:type="spellEnd"/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сырья и формальдегида.</w:t>
            </w:r>
          </w:p>
          <w:p w:rsidR="00901A12" w:rsidRPr="00901A12" w:rsidRDefault="00901A12" w:rsidP="00901A12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- 2011, Моделирование работы реактора </w:t>
            </w:r>
            <w:proofErr w:type="spellStart"/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газофазного</w:t>
            </w:r>
            <w:proofErr w:type="spellEnd"/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синтеза изопрена.</w:t>
            </w:r>
          </w:p>
          <w:p w:rsidR="00901A12" w:rsidRPr="00901A12" w:rsidRDefault="00901A12" w:rsidP="00901A12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- 2011 г., Научно-техническое сопровождение опытно-промышленных испытаний катализатора производства изопрена.</w:t>
            </w:r>
          </w:p>
          <w:p w:rsidR="00901A12" w:rsidRPr="00901A12" w:rsidRDefault="00901A12" w:rsidP="00901A12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- 2012, Исследование влияния водяного пара и высоких температур на катализатор синтеза изопрена.</w:t>
            </w:r>
          </w:p>
          <w:p w:rsidR="00901A12" w:rsidRPr="00901A12" w:rsidRDefault="00901A12" w:rsidP="00901A12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- 2012, Оптимизация масштабной </w:t>
            </w:r>
            <w:proofErr w:type="gramStart"/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 синтеза ката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лизатора производства изопрена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1A12" w:rsidRPr="00901A12" w:rsidRDefault="00901A12" w:rsidP="0090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2010, Разработка метода микрофильтрации для концентрирования </w:t>
            </w:r>
            <w:proofErr w:type="spellStart"/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полимеризационного</w:t>
            </w:r>
            <w:proofErr w:type="spellEnd"/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раствора синтетического каучука.</w:t>
            </w:r>
          </w:p>
          <w:p w:rsidR="00901A12" w:rsidRPr="00901A12" w:rsidRDefault="00901A12" w:rsidP="0090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 2010, Разработка метода синтеза бутадиена и </w:t>
            </w:r>
            <w:proofErr w:type="spellStart"/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метилизобутилкетона</w:t>
            </w:r>
            <w:proofErr w:type="spellEnd"/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бутандиолов</w:t>
            </w:r>
            <w:proofErr w:type="spellEnd"/>
            <w:r w:rsidRPr="0090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2BA8" w:rsidRPr="00901A12" w:rsidRDefault="00AC2BA8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866" w:rsidRPr="00D20866" w:rsidTr="008B4E2F">
        <w:trPr>
          <w:trHeight w:val="624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выполнения работ в полном объеме самостоятельно или необходимость привлечения соисполнителей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6" w:rsidRPr="00D20866" w:rsidRDefault="0061477E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</w:t>
            </w: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самостоятельно</w:t>
            </w:r>
          </w:p>
        </w:tc>
      </w:tr>
      <w:tr w:rsidR="00D20866" w:rsidRPr="00D20866" w:rsidTr="008B4E2F">
        <w:trPr>
          <w:trHeight w:val="156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проекта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и квалификация предполагаемых участников проектной команды, % занятости в проекте, готовность зафиксировать состав проектной команды в контракте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77E" w:rsidRDefault="0061477E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евич</w:t>
            </w:r>
            <w:r w:rsidR="00BE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к.х.н., </w:t>
            </w:r>
            <w:r w:rsidR="00BE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 занятости</w:t>
            </w:r>
            <w:r w:rsidR="0059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общее руководство проектом</w:t>
            </w:r>
          </w:p>
          <w:p w:rsidR="0061477E" w:rsidRDefault="0061477E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Андрей Валентинович: к.х.н., </w:t>
            </w:r>
            <w:r w:rsidR="0059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E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занятости</w:t>
            </w:r>
            <w:r w:rsidR="0059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синтез катализатора</w:t>
            </w:r>
          </w:p>
          <w:p w:rsidR="00D20866" w:rsidRDefault="0061477E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 Дмитрий Леонидович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BE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E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 занятости</w:t>
            </w:r>
            <w:r w:rsidR="0059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проведение каталитических экспериментов</w:t>
            </w:r>
          </w:p>
          <w:p w:rsidR="005904AB" w:rsidRDefault="005904AB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 Андрей Владимирович: 20% занятости, техническое сопровождение работ</w:t>
            </w:r>
          </w:p>
          <w:p w:rsidR="00BE2644" w:rsidRDefault="00BE2644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644" w:rsidRPr="00D20866" w:rsidRDefault="00BE2644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зафиксировать состав проектной команды в контракте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D20866" w:rsidRPr="00D20866" w:rsidTr="008B4E2F">
        <w:trPr>
          <w:trHeight w:val="312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поэтапного контроля работ/присутствия на площадке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6" w:rsidRPr="00D20866" w:rsidRDefault="005904AB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 периодические визиты на площадку.</w:t>
            </w:r>
          </w:p>
        </w:tc>
      </w:tr>
      <w:tr w:rsidR="00D20866" w:rsidRPr="00D20866" w:rsidTr="008B4E2F">
        <w:trPr>
          <w:trHeight w:val="624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Уровень/инструменты проектного управления, готовность использовать предлагаемые СИБУР инструменты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применение </w:t>
            </w:r>
            <w:proofErr w:type="spellStart"/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Stage</w:t>
            </w:r>
            <w:proofErr w:type="spellEnd"/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Gate</w:t>
            </w:r>
            <w:proofErr w:type="spellEnd"/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при реализации проектов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6" w:rsidRPr="00D20866" w:rsidRDefault="00246C4E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20866" w:rsidRPr="00D20866" w:rsidTr="008B4E2F">
        <w:trPr>
          <w:trHeight w:val="312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внесения корректив в ТЗ в процессе проекта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6" w:rsidRPr="00D20866" w:rsidRDefault="005904AB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</w:t>
            </w:r>
          </w:p>
        </w:tc>
      </w:tr>
      <w:tr w:rsidR="00D20866" w:rsidRPr="00D20866" w:rsidTr="008B4E2F">
        <w:trPr>
          <w:trHeight w:val="312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передачи "сырых" данных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6" w:rsidRPr="00D20866" w:rsidRDefault="005904AB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20866" w:rsidRPr="00D20866" w:rsidTr="008B4E2F">
        <w:trPr>
          <w:trHeight w:val="624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организации сменного графика работ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для реализации проекта или отдельных его этапов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6" w:rsidRPr="00D20866" w:rsidRDefault="005904AB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испытаний на ресурс работы катализатора требуется непрерывное ведение реакции. Оно будет обеспечено использованием автоматической каталитической установки и непрерывным (удаленным) мониторингом её работы.</w:t>
            </w:r>
          </w:p>
        </w:tc>
      </w:tr>
      <w:tr w:rsidR="00D20866" w:rsidRPr="00D20866" w:rsidTr="008B4E2F">
        <w:trPr>
          <w:trHeight w:val="624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позиции контрагента в области IP (принадлежность результатов работ) стратегии реализации проекта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6" w:rsidRPr="00D20866" w:rsidRDefault="00246C4E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20866" w:rsidRPr="00D20866" w:rsidTr="008B4E2F">
        <w:trPr>
          <w:trHeight w:val="624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оформления отчетной документации в соответствии с ГОСТ и другой нормативной документацией в зависимости от стадии и сути работ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6" w:rsidRPr="00D20866" w:rsidRDefault="005904AB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20866" w:rsidRPr="00D20866" w:rsidTr="008B4E2F">
        <w:trPr>
          <w:trHeight w:val="63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Заинтересованность контрагента в совместной реализации проекта </w:t>
            </w: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вплоть до финальных стадий масштабирования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6" w:rsidRPr="00D20866" w:rsidRDefault="005904AB" w:rsidP="008B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EA25FF" w:rsidRDefault="00EA25FF"/>
    <w:sectPr w:rsidR="00EA25FF" w:rsidSect="00D20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AADFBE"/>
    <w:lvl w:ilvl="0">
      <w:numFmt w:val="bullet"/>
      <w:lvlText w:val="*"/>
      <w:lvlJc w:val="left"/>
    </w:lvl>
  </w:abstractNum>
  <w:abstractNum w:abstractNumId="1">
    <w:nsid w:val="01943D57"/>
    <w:multiLevelType w:val="hybridMultilevel"/>
    <w:tmpl w:val="EE945A0C"/>
    <w:lvl w:ilvl="0" w:tplc="F52091A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D00AD"/>
    <w:multiLevelType w:val="hybridMultilevel"/>
    <w:tmpl w:val="393C01E0"/>
    <w:lvl w:ilvl="0" w:tplc="57A0F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C37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A81F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4CD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6FB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69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F6C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3E83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61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8A54A4"/>
    <w:multiLevelType w:val="hybridMultilevel"/>
    <w:tmpl w:val="CE32F51A"/>
    <w:lvl w:ilvl="0" w:tplc="7D9EA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CC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0B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8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84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A3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8B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A5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40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047F7F"/>
    <w:multiLevelType w:val="hybridMultilevel"/>
    <w:tmpl w:val="3C7CEBF4"/>
    <w:lvl w:ilvl="0" w:tplc="979471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7030BAE"/>
    <w:multiLevelType w:val="hybridMultilevel"/>
    <w:tmpl w:val="16F4E15E"/>
    <w:lvl w:ilvl="0" w:tplc="BDBEA8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EE0580"/>
    <w:multiLevelType w:val="hybridMultilevel"/>
    <w:tmpl w:val="653047F4"/>
    <w:lvl w:ilvl="0" w:tplc="F52091A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31F65"/>
    <w:multiLevelType w:val="hybridMultilevel"/>
    <w:tmpl w:val="37F2CCC8"/>
    <w:lvl w:ilvl="0" w:tplc="B254D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674B2">
      <w:start w:val="116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26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8E2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9E5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CC8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0E3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AF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F09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EE5294D"/>
    <w:multiLevelType w:val="hybridMultilevel"/>
    <w:tmpl w:val="6C103FC6"/>
    <w:lvl w:ilvl="0" w:tplc="0EECF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4A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60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42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EE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AE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8B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AA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A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B6647F"/>
    <w:multiLevelType w:val="hybridMultilevel"/>
    <w:tmpl w:val="D5B4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61557"/>
    <w:multiLevelType w:val="hybridMultilevel"/>
    <w:tmpl w:val="A1281808"/>
    <w:lvl w:ilvl="0" w:tplc="68142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83C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85E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87E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A12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9CA9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0E5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814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8A57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32"/>
        </w:rPr>
      </w:lvl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0866"/>
    <w:rsid w:val="000961CC"/>
    <w:rsid w:val="00162753"/>
    <w:rsid w:val="00211E0C"/>
    <w:rsid w:val="00246C4E"/>
    <w:rsid w:val="002D0CA1"/>
    <w:rsid w:val="003514CD"/>
    <w:rsid w:val="003D3F2F"/>
    <w:rsid w:val="004956B3"/>
    <w:rsid w:val="005904AB"/>
    <w:rsid w:val="005A00AB"/>
    <w:rsid w:val="005C5A23"/>
    <w:rsid w:val="0061477E"/>
    <w:rsid w:val="00673D13"/>
    <w:rsid w:val="00716329"/>
    <w:rsid w:val="00761A6F"/>
    <w:rsid w:val="007856C0"/>
    <w:rsid w:val="007D6415"/>
    <w:rsid w:val="00840361"/>
    <w:rsid w:val="008B4E2F"/>
    <w:rsid w:val="00901A12"/>
    <w:rsid w:val="00965625"/>
    <w:rsid w:val="009F69F6"/>
    <w:rsid w:val="00A266CF"/>
    <w:rsid w:val="00AA3787"/>
    <w:rsid w:val="00AB0762"/>
    <w:rsid w:val="00AB56F2"/>
    <w:rsid w:val="00AC2BA8"/>
    <w:rsid w:val="00BE2644"/>
    <w:rsid w:val="00C125C5"/>
    <w:rsid w:val="00C6750B"/>
    <w:rsid w:val="00CF47E0"/>
    <w:rsid w:val="00D20866"/>
    <w:rsid w:val="00EA25FF"/>
    <w:rsid w:val="00F44F49"/>
    <w:rsid w:val="00FC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4CD"/>
    <w:pPr>
      <w:ind w:left="720"/>
      <w:contextualSpacing/>
    </w:pPr>
  </w:style>
  <w:style w:type="character" w:styleId="a4">
    <w:name w:val="Emphasis"/>
    <w:basedOn w:val="a0"/>
    <w:uiPriority w:val="20"/>
    <w:qFormat/>
    <w:rsid w:val="007856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4CD"/>
    <w:pPr>
      <w:ind w:left="720"/>
      <w:contextualSpacing/>
    </w:pPr>
  </w:style>
  <w:style w:type="character" w:styleId="a4">
    <w:name w:val="Emphasis"/>
    <w:basedOn w:val="a0"/>
    <w:uiPriority w:val="20"/>
    <w:qFormat/>
    <w:rsid w:val="007856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1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6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Елсуков Антон Витальевич</dc:creator>
  <cp:lastModifiedBy>Попов А.Г.</cp:lastModifiedBy>
  <cp:revision>3</cp:revision>
  <dcterms:created xsi:type="dcterms:W3CDTF">2021-12-10T16:39:00Z</dcterms:created>
  <dcterms:modified xsi:type="dcterms:W3CDTF">2021-12-10T15:47:00Z</dcterms:modified>
</cp:coreProperties>
</file>